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p14="http://schemas.microsoft.com/office/word/2010/wordprocessingDrawing" xmlns:wne="http://schemas.microsoft.com/office/word/2006/wordml" mc:Ignorable="w14 wp14">
  <w:body>
    <w:p/>
    <w:p>
      <w:pPr>
        <w:pStyle w:val="Normal"/>
        <w:spacing w:before="0" w:after="0" w:line="252"/>
        <w:rPr>
          <w:rFonts w:ascii="Calibri" w:hAnsi="Calibri"/>
          <w:b w:val="0"/>
          <w:i w:val="0"/>
          <w:color w:val="7F7F7F"/>
          <w:sz w:val="18"/>
        </w:rPr>
      </w:pPr>
      <w:r>
        <w:rPr>
          <w:rFonts w:ascii="Calibri" w:hAnsi="Calibri"/>
          <w:b w:val="0"/>
          <w:i w:val="0"/>
          <w:color w:val="7F7F7F"/>
          <w:sz w:val="18"/>
        </w:rPr>
        <w:t>[PURCHASER LETTERHEAD]</w:t>
      </w:r>
    </w:p>
    <w:p>
      <w:pPr>
        <w:pStyle w:val="Normal"/>
        <w:spacing w:before="0" w:after="160" w:line="252"/>
        <w:rPr>
          <w:rFonts w:ascii="Calibri" w:hAnsi="Calibri"/>
          <w:b/>
          <w:i/>
          <w:color w:val="C0392B"/>
          <w:sz w:val="20"/>
        </w:rPr>
      </w:pPr>
      <w:r>
        <w:rPr>
          <w:rFonts w:ascii="Calibri" w:hAnsi="Calibri"/>
          <w:b/>
          <w:i/>
          <w:color w:val="C0392B"/>
          <w:sz w:val="20"/>
        </w:rPr>
        <w:t>Illustrative: Ironvale Digital Infrastructure is a fictional company (PE Bench)</w:t>
      </w:r>
    </w:p>
    <w:p>
      <w:pPr>
        <w:pStyle w:val="Normal"/>
        <w:spacing w:before="0" w:after="160" w:line="252"/>
        <w:rPr>
          <w:rFonts w:ascii="Calibri" w:hAnsi="Calibri"/>
          <w:b/>
          <w:i w:val="0"/>
          <w:color w:val="1A1A1A"/>
          <w:sz w:val="18"/>
        </w:rPr>
      </w:pPr>
      <w:r>
        <w:rPr>
          <w:rFonts w:ascii="Calibri" w:hAnsi="Calibri"/>
          <w:b/>
          <w:i w:val="0"/>
          <w:color w:val="1A1A1A"/>
          <w:sz w:val="18"/>
        </w:rPr>
        <w:t>STRICTLY PRIVATE AND CONFIDENTIAL. NON-BINDING. SUBJECT TO CONTRACT.</w:t>
      </w:r>
    </w:p>
    <w:p>
      <w:pPr>
        <w:pStyle w:val="Normal"/>
        <w:spacing w:before="0" w:after="160" w:line="252"/>
        <w:rPr>
          <w:rFonts w:ascii="Calibri" w:hAnsi="Calibri"/>
          <w:b w:val="0"/>
          <w:i w:val="0"/>
          <w:color w:val="1A1A1A"/>
          <w:sz w:val="21"/>
        </w:rPr>
      </w:pPr>
      <w:r>
        <w:rPr>
          <w:rFonts w:ascii="Calibri" w:hAnsi="Calibri"/>
          <w:b w:val="0"/>
          <w:i w:val="0"/>
          <w:color w:val="1A1A1A"/>
          <w:sz w:val="21"/>
        </w:rPr>
        <w:t>[Date of submission, on or before the Submission Deadline]</w:t>
      </w:r>
    </w:p>
    <w:p>
      <w:pPr>
        <w:pStyle w:val="Normal"/>
        <w:spacing w:before="0" w:after="160" w:line="252"/>
        <w:rPr>
          <w:rFonts w:ascii="Calibri" w:hAnsi="Calibri"/>
          <w:b w:val="0"/>
          <w:i w:val="0"/>
          <w:color w:val="1A1A1A"/>
          <w:sz w:val="21"/>
        </w:rPr>
      </w:pPr>
      <w:r>
        <w:rPr>
          <w:rFonts w:ascii="Calibri" w:hAnsi="Calibri"/>
          <w:b w:val="0"/>
          <w:i w:val="0"/>
          <w:color w:val="1A1A1A"/>
          <w:sz w:val="21"/>
        </w:rPr>
        <w:t xml:space="preserve">The Board of Directors
Ironvale Digital Infrastructure, LLC
c/o Kingsmill &amp; Co., 450 Park Avenue, 21st Floor, New York, NY 10022
Attention: Nathaniel Hollis and Camille Ostrander (copy: Owen Calvert)</w:t>
      </w:r>
    </w:p>
    <w:p>
      <w:pPr>
        <w:pStyle w:val="Normal"/>
        <w:spacing w:before="0" w:after="160" w:line="252"/>
        <w:rPr>
          <w:rFonts w:ascii="Calibri" w:hAnsi="Calibri"/>
          <w:b/>
          <w:i w:val="0"/>
          <w:color w:val="1A1A1A"/>
          <w:sz w:val="21"/>
        </w:rPr>
      </w:pPr>
      <w:r>
        <w:rPr>
          <w:rFonts w:ascii="Calibri" w:hAnsi="Calibri"/>
          <w:b/>
          <w:i w:val="0"/>
          <w:color w:val="1A1A1A"/>
          <w:sz w:val="21"/>
        </w:rPr>
        <w:t>Re: Project Voltaic - Indication of Interest - [Purchaser name]</w:t>
      </w:r>
    </w:p>
    <w:p>
      <w:pPr>
        <w:pStyle w:val="Normal"/>
        <w:spacing w:before="0" w:after="120" w:line="252"/>
        <w:rPr>
          <w:rFonts w:ascii="Calibri" w:hAnsi="Calibri"/>
          <w:b w:val="0"/>
          <w:i w:val="0"/>
          <w:color w:val="1A1A1A"/>
          <w:sz w:val="21"/>
        </w:rPr>
      </w:pPr>
      <w:r>
        <w:rPr>
          <w:rFonts w:ascii="Calibri" w:hAnsi="Calibri"/>
          <w:b w:val="0"/>
          <w:i w:val="0"/>
          <w:color w:val="1A1A1A"/>
          <w:sz w:val="21"/>
        </w:rPr>
        <w:t>Ladies and Gentlemen:</w:t>
      </w:r>
    </w:p>
    <w:p>
      <w:pPr>
        <w:pStyle w:val="Normal"/>
        <w:spacing w:before="0" w:after="120" w:line="252"/>
        <w:rPr>
          <w:rFonts w:ascii="Calibri" w:hAnsi="Calibri"/>
          <w:b w:val="0"/>
          <w:i w:val="0"/>
          <w:color w:val="1A1A1A"/>
          <w:sz w:val="21"/>
        </w:rPr>
      </w:pPr>
      <w:r>
        <w:rPr>
          <w:rFonts w:ascii="Calibri" w:hAnsi="Calibri"/>
          <w:b w:val="0"/>
          <w:i w:val="0"/>
          <w:color w:val="1A1A1A"/>
          <w:sz w:val="21"/>
        </w:rPr>
        <w:t xml:space="preserve">Further to the process letter of June 12, 2026, [Purchaser name] ("we") is pleased to submit this non-binding indication of interest to acquire 100% of the equity interests of Ironvale Digital Infrastructure, LLC (the "Company") on a </w:t>
      </w:r>
      <w:bookmarkStart w:id="0" w:name="citei-c1"/>
      <w:r>
        <w:rPr>
          <w:rFonts w:ascii="Calibri" w:hAnsi="Calibri"/>
          <w:b w:val="0"/>
          <w:i w:val="0"/>
          <w:color w:val="1A1A1A"/>
          <w:sz w:val="21"/>
        </w:rPr>
        <w:t>cash-free, debt-free basis and assuming a normalised level of net working capital at closing</w:t>
      </w:r>
      <w:bookmarkEnd w:id="0"/>
      <w:r>
        <w:rPr>
          <w:rFonts w:ascii="Calibri" w:hAnsi="Calibri"/>
          <w:b w:val="0"/>
          <w:i w:val="0"/>
          <w:color w:val="1A1A1A"/>
          <w:sz w:val="21"/>
        </w:rPr>
        <w:t>.</w:t>
      </w:r>
    </w:p>
    <w:p>
      <w:pPr>
        <w:pStyle w:val="Normal"/>
        <w:spacing w:before="120" w:after="60" w:line="252"/>
        <w:rPr>
          <w:rFonts w:ascii="Calibri" w:hAnsi="Calibri"/>
          <w:b/>
          <w:i w:val="0"/>
          <w:color w:val="002060"/>
          <w:sz w:val="22"/>
        </w:rPr>
      </w:pPr>
      <w:r>
        <w:rPr>
          <w:rFonts w:ascii="Calibri" w:hAnsi="Calibri"/>
          <w:b/>
          <w:i w:val="0"/>
          <w:color w:val="002060"/>
          <w:sz w:val="22"/>
        </w:rPr>
        <w:t>1. Headline value</w:t>
      </w:r>
    </w:p>
    <w:p>
      <w:pPr>
        <w:pStyle w:val="Normal"/>
        <w:spacing w:before="0" w:after="120" w:line="252"/>
        <w:rPr>
          <w:rFonts w:ascii="Calibri" w:hAnsi="Calibri"/>
          <w:b w:val="0"/>
          <w:i w:val="0"/>
          <w:color w:val="1A1A1A"/>
          <w:sz w:val="21"/>
        </w:rPr>
      </w:pPr>
      <w:r>
        <w:rPr>
          <w:rFonts w:ascii="Calibri" w:hAnsi="Calibri"/>
          <w:b w:val="0"/>
          <w:i w:val="0"/>
          <w:color w:val="1A1A1A"/>
          <w:sz w:val="21"/>
        </w:rPr>
        <w:t xml:space="preserve">We indicate an enterprise value of </w:t>
      </w:r>
      <w:bookmarkStart w:id="1" w:name="citei-c2"/>
      <w:r>
        <w:rPr>
          <w:rFonts w:ascii="Calibri" w:hAnsi="Calibri"/>
          <w:b w:val="0"/>
          <w:i w:val="0"/>
          <w:color w:val="1A1A1A"/>
          <w:sz w:val="21"/>
        </w:rPr>
        <w:t>$4,125 million</w:t>
      </w:r>
      <w:bookmarkEnd w:id="1"/>
      <w:r>
        <w:rPr>
          <w:rFonts w:ascii="Calibri" w:hAnsi="Calibri"/>
          <w:b w:val="0"/>
          <w:i w:val="0"/>
          <w:color w:val="1A1A1A"/>
          <w:sz w:val="21"/>
        </w:rPr>
        <w:t xml:space="preserve"> for 100% of the equity interests of the Company. This is a single value, as the process letter requests. It equals 18.4x the FY25 adjusted EBITDA of </w:t>
      </w:r>
      <w:bookmarkStart w:id="2" w:name="citei-c3"/>
      <w:r>
        <w:rPr>
          <w:rFonts w:ascii="Calibri" w:hAnsi="Calibri"/>
          <w:b w:val="0"/>
          <w:i w:val="0"/>
          <w:color w:val="1A1A1A"/>
          <w:sz w:val="21"/>
        </w:rPr>
        <w:t>$224.0 million</w:t>
      </w:r>
      <w:bookmarkEnd w:id="2"/>
      <w:r>
        <w:rPr>
          <w:rFonts w:ascii="Calibri" w:hAnsi="Calibri"/>
          <w:b w:val="0"/>
          <w:i w:val="0"/>
          <w:color w:val="1A1A1A"/>
          <w:sz w:val="21"/>
        </w:rPr>
        <w:t xml:space="preserve"> presented in the CIM and 20.4x our diligence view of FY25 adjusted EBITDA of </w:t>
      </w:r>
      <w:bookmarkStart w:id="3" w:name="citei-c4"/>
      <w:r>
        <w:rPr>
          <w:rFonts w:ascii="Calibri" w:hAnsi="Calibri"/>
          <w:b w:val="0"/>
          <w:i w:val="0"/>
          <w:color w:val="1A1A1A"/>
          <w:sz w:val="21"/>
        </w:rPr>
        <w:t>$201.8 million</w:t>
      </w:r>
      <w:bookmarkEnd w:id="3"/>
      <w:r>
        <w:rPr>
          <w:rFonts w:ascii="Calibri" w:hAnsi="Calibri"/>
          <w:b w:val="0"/>
          <w:i w:val="0"/>
          <w:color w:val="1A1A1A"/>
          <w:sz w:val="21"/>
        </w:rPr>
        <w:t>.</w:t>
      </w:r>
    </w:p>
    <w:p>
      <w:pPr>
        <w:pStyle w:val="Normal"/>
        <w:spacing w:before="120" w:after="60" w:line="252"/>
        <w:rPr>
          <w:rFonts w:ascii="Calibri" w:hAnsi="Calibri"/>
          <w:b/>
          <w:i w:val="0"/>
          <w:color w:val="002060"/>
          <w:sz w:val="22"/>
        </w:rPr>
      </w:pPr>
      <w:r>
        <w:rPr>
          <w:rFonts w:ascii="Calibri" w:hAnsi="Calibri"/>
          <w:b/>
          <w:i w:val="0"/>
          <w:color w:val="002060"/>
          <w:sz w:val="22"/>
        </w:rPr>
        <w:t>2. Basis of valuation and key assumptions</w:t>
      </w:r>
    </w:p>
    <w:p>
      <w:pPr>
        <w:pStyle w:val="Normal"/>
        <w:numPr>
          <w:ilvl w:val="0"/>
          <w:numId w:val="1"/>
        </w:numPr>
        <w:spacing w:before="0" w:after="40" w:line="252"/>
        <w:ind w:left="360" w:firstLine="-240"/>
        <w:rPr>
          <w:rFonts w:ascii="Calibri" w:hAnsi="Calibri"/>
          <w:b w:val="0"/>
          <w:i w:val="0"/>
          <w:color w:val="1A1A1A"/>
          <w:sz w:val="21"/>
        </w:rPr>
      </w:pPr>
      <w:r>
        <w:rPr>
          <w:rFonts w:ascii="Calibri" w:hAnsi="Calibri"/>
          <w:b w:val="0"/>
          <w:i w:val="0"/>
          <w:color w:val="1A1A1A"/>
          <w:sz w:val="21"/>
        </w:rPr>
        <w:t xml:space="preserve">Earnings base. FY25 adjusted EBITDA of $201.8 million: the seller bridge with transaction costs limited to spend after the Board's November 2025 authorization, less </w:t>
      </w:r>
      <w:bookmarkStart w:id="4" w:name="citei-c5"/>
      <w:r>
        <w:rPr>
          <w:rFonts w:ascii="Calibri" w:hAnsi="Calibri"/>
          <w:b w:val="0"/>
          <w:i w:val="0"/>
          <w:color w:val="1A1A1A"/>
          <w:sz w:val="21"/>
        </w:rPr>
        <w:t>$11.1 million of other income</w:t>
      </w:r>
      <w:bookmarkEnd w:id="4"/>
      <w:r>
        <w:rPr>
          <w:rFonts w:ascii="Calibri" w:hAnsi="Calibri"/>
          <w:b w:val="0"/>
          <w:i w:val="0"/>
          <w:color w:val="1A1A1A"/>
          <w:sz w:val="21"/>
        </w:rPr>
        <w:t xml:space="preserve"> (VPPA settlements, interest income and development fees) and less </w:t>
      </w:r>
      <w:bookmarkStart w:id="5" w:name="citei-c6"/>
      <w:r>
        <w:rPr>
          <w:rFonts w:ascii="Calibri" w:hAnsi="Calibri"/>
          <w:b w:val="0"/>
          <w:i w:val="0"/>
          <w:color w:val="1A1A1A"/>
          <w:sz w:val="21"/>
        </w:rPr>
        <w:t>$8.2 million of power cost</w:t>
      </w:r>
      <w:bookmarkEnd w:id="5"/>
      <w:r>
        <w:rPr>
          <w:rFonts w:ascii="Calibri" w:hAnsi="Calibri"/>
          <w:b w:val="0"/>
          <w:i w:val="0"/>
          <w:color w:val="1A1A1A"/>
          <w:sz w:val="21"/>
        </w:rPr>
        <w:t xml:space="preserve"> that interval data show is not recovered from tenants.</w:t>
      </w:r>
    </w:p>
    <w:p>
      <w:pPr>
        <w:pStyle w:val="Normal"/>
        <w:numPr>
          <w:ilvl w:val="0"/>
          <w:numId w:val="1"/>
        </w:numPr>
        <w:spacing w:before="0" w:after="40" w:line="252"/>
        <w:ind w:left="360" w:firstLine="-240"/>
        <w:rPr>
          <w:rFonts w:ascii="Calibri" w:hAnsi="Calibri"/>
          <w:b w:val="0"/>
          <w:i w:val="0"/>
          <w:color w:val="1A1A1A"/>
          <w:sz w:val="21"/>
        </w:rPr>
      </w:pPr>
      <w:r>
        <w:rPr>
          <w:rFonts w:ascii="Calibri" w:hAnsi="Calibri"/>
          <w:b w:val="0"/>
          <w:i w:val="0"/>
          <w:color w:val="1A1A1A"/>
          <w:sz w:val="21"/>
        </w:rPr>
        <w:t xml:space="preserve">Multiple. The six operating-campus appraisals (effective March 31, 2026) imply </w:t>
      </w:r>
      <w:bookmarkStart w:id="6" w:name="citei-c7"/>
      <w:r>
        <w:rPr>
          <w:rFonts w:ascii="Calibri" w:hAnsi="Calibri"/>
          <w:b w:val="0"/>
          <w:i w:val="0"/>
          <w:color w:val="1A1A1A"/>
          <w:sz w:val="21"/>
        </w:rPr>
        <w:t>19.2x NOI less G&amp;A</w:t>
      </w:r>
      <w:bookmarkEnd w:id="6"/>
      <w:r>
        <w:rPr>
          <w:rFonts w:ascii="Calibri" w:hAnsi="Calibri"/>
          <w:b w:val="0"/>
          <w:i w:val="0"/>
          <w:color w:val="1A1A1A"/>
          <w:sz w:val="21"/>
        </w:rPr>
        <w:t xml:space="preserve">. We apply </w:t>
      </w:r>
      <w:bookmarkStart w:id="7" w:name="citei-c8"/>
      <w:r>
        <w:rPr>
          <w:rFonts w:ascii="Calibri" w:hAnsi="Calibri"/>
          <w:b w:val="0"/>
          <w:i w:val="0"/>
          <w:color w:val="1A1A1A"/>
          <w:sz w:val="21"/>
        </w:rPr>
        <w:t>17.7x to 18.5x</w:t>
      </w:r>
      <w:bookmarkEnd w:id="7"/>
      <w:r>
        <w:rPr>
          <w:rFonts w:ascii="Calibri" w:hAnsi="Calibri"/>
          <w:b w:val="0"/>
          <w:i w:val="0"/>
          <w:color w:val="1A1A1A"/>
          <w:sz w:val="21"/>
        </w:rPr>
        <w:t xml:space="preserve"> because the executed hyperscale leases in the clean room expire between 2028 and 2032, which puts contracted portfolio WALT at </w:t>
      </w:r>
      <w:bookmarkStart w:id="8" w:name="citei-c9"/>
      <w:r>
        <w:rPr>
          <w:rFonts w:ascii="Calibri" w:hAnsi="Calibri"/>
          <w:b w:val="0"/>
          <w:i w:val="0"/>
          <w:color w:val="1A1A1A"/>
          <w:sz w:val="21"/>
        </w:rPr>
        <w:t>about 4.0 years</w:t>
      </w:r>
      <w:bookmarkEnd w:id="8"/>
      <w:r>
        <w:rPr>
          <w:rFonts w:ascii="Calibri" w:hAnsi="Calibri"/>
          <w:b w:val="0"/>
          <w:i w:val="0"/>
          <w:color w:val="1A1A1A"/>
          <w:sz w:val="21"/>
        </w:rPr>
        <w:t xml:space="preserve"> rather than 6.9 years.</w:t>
      </w:r>
    </w:p>
    <w:p>
      <w:pPr>
        <w:pStyle w:val="Normal"/>
        <w:numPr>
          <w:ilvl w:val="0"/>
          <w:numId w:val="1"/>
        </w:numPr>
        <w:spacing w:before="0" w:after="40" w:line="252"/>
        <w:ind w:left="360" w:firstLine="-240"/>
        <w:rPr>
          <w:rFonts w:ascii="Calibri" w:hAnsi="Calibri"/>
          <w:b w:val="0"/>
          <w:i w:val="0"/>
          <w:color w:val="1A1A1A"/>
          <w:sz w:val="21"/>
        </w:rPr>
      </w:pPr>
      <w:r>
        <w:rPr>
          <w:rFonts w:ascii="Calibri" w:hAnsi="Calibri"/>
          <w:b w:val="0"/>
          <w:i w:val="0"/>
          <w:color w:val="1A1A1A"/>
          <w:sz w:val="21"/>
        </w:rPr>
        <w:t xml:space="preserve">Capacity in flight. PHX II and ATL II are valued at cost spent to March 31, 2026 of </w:t>
      </w:r>
      <w:bookmarkStart w:id="9" w:name="citei-c10"/>
      <w:r>
        <w:rPr>
          <w:rFonts w:ascii="Calibri" w:hAnsi="Calibri"/>
          <w:b w:val="0"/>
          <w:i w:val="0"/>
          <w:color w:val="1A1A1A"/>
          <w:sz w:val="21"/>
        </w:rPr>
        <w:t>$508 million</w:t>
      </w:r>
      <w:bookmarkEnd w:id="9"/>
      <w:r>
        <w:rPr>
          <w:rFonts w:ascii="Calibri" w:hAnsi="Calibri"/>
          <w:b w:val="0"/>
          <w:i w:val="0"/>
          <w:color w:val="1A1A1A"/>
          <w:sz w:val="21"/>
        </w:rPr>
        <w:t xml:space="preserve">, less </w:t>
      </w:r>
      <w:bookmarkStart w:id="10" w:name="citei-c11"/>
      <w:r>
        <w:rPr>
          <w:rFonts w:ascii="Calibri" w:hAnsi="Calibri"/>
          <w:b w:val="0"/>
          <w:i w:val="0"/>
          <w:color w:val="1A1A1A"/>
          <w:sz w:val="21"/>
        </w:rPr>
        <w:t>$17.6 million</w:t>
      </w:r>
      <w:bookmarkEnd w:id="10"/>
      <w:r>
        <w:rPr>
          <w:rFonts w:ascii="Calibri" w:hAnsi="Calibri"/>
          <w:b w:val="0"/>
          <w:i w:val="0"/>
          <w:color w:val="1A1A1A"/>
          <w:sz w:val="21"/>
        </w:rPr>
        <w:t xml:space="preserve"> to restore PHX II contingency and cover the unaccrued HVAC claim, and less the </w:t>
      </w:r>
      <w:bookmarkStart w:id="11" w:name="citei-c12"/>
      <w:r>
        <w:rPr>
          <w:rFonts w:ascii="Calibri" w:hAnsi="Calibri"/>
          <w:b w:val="0"/>
          <w:i w:val="0"/>
          <w:color w:val="1A1A1A"/>
          <w:sz w:val="21"/>
        </w:rPr>
        <w:t>$18 million DFW I-A chiller replacement</w:t>
      </w:r>
      <w:bookmarkEnd w:id="11"/>
      <w:r>
        <w:rPr>
          <w:rFonts w:ascii="Calibri" w:hAnsi="Calibri"/>
          <w:b w:val="0"/>
          <w:i w:val="0"/>
          <w:color w:val="1A1A1A"/>
          <w:sz w:val="21"/>
        </w:rPr>
        <w:t xml:space="preserve"> that the long-range plan does not fund.</w:t>
      </w:r>
    </w:p>
    <w:p>
      <w:pPr>
        <w:pStyle w:val="Normal"/>
        <w:numPr>
          <w:ilvl w:val="0"/>
          <w:numId w:val="1"/>
        </w:numPr>
        <w:spacing w:before="0" w:after="40" w:line="252"/>
        <w:ind w:left="360" w:firstLine="-240"/>
        <w:rPr>
          <w:rFonts w:ascii="Calibri" w:hAnsi="Calibri"/>
          <w:b w:val="0"/>
          <w:i w:val="0"/>
          <w:color w:val="1A1A1A"/>
          <w:sz w:val="21"/>
        </w:rPr>
      </w:pPr>
      <w:r>
        <w:rPr>
          <w:rFonts w:ascii="Calibri" w:hAnsi="Calibri"/>
          <w:b w:val="0"/>
          <w:i w:val="0"/>
          <w:color w:val="1A1A1A"/>
          <w:sz w:val="21"/>
        </w:rPr>
        <w:t>Excluded. We ascribe no value to the land bank or to the FY26-FY30 long-range plan beyond capacity in flight; both are upside for Phase II.</w:t>
      </w:r>
    </w:p>
    <w:p>
      <w:pPr>
        <w:pStyle w:val="Normal"/>
        <w:numPr>
          <w:ilvl w:val="0"/>
          <w:numId w:val="1"/>
        </w:numPr>
        <w:spacing w:before="0" w:after="40" w:line="252"/>
        <w:ind w:left="360" w:firstLine="-240"/>
        <w:rPr>
          <w:rFonts w:ascii="Calibri" w:hAnsi="Calibri"/>
          <w:b w:val="0"/>
          <w:i w:val="0"/>
          <w:color w:val="1A1A1A"/>
          <w:sz w:val="21"/>
        </w:rPr>
      </w:pPr>
      <w:r>
        <w:rPr>
          <w:rFonts w:ascii="Calibri" w:hAnsi="Calibri"/>
          <w:b w:val="0"/>
          <w:i w:val="0"/>
          <w:color w:val="1A1A1A"/>
          <w:sz w:val="21"/>
        </w:rPr>
        <w:t xml:space="preserve">Upside to our value. Executed amendments supporting the rent-roll lease terms would add up to </w:t>
      </w:r>
      <w:bookmarkStart w:id="12" w:name="citei-c13"/>
      <w:r>
        <w:rPr>
          <w:rFonts w:ascii="Calibri" w:hAnsi="Calibri"/>
          <w:b w:val="0"/>
          <w:i w:val="0"/>
          <w:color w:val="1A1A1A"/>
          <w:sz w:val="21"/>
        </w:rPr>
        <w:t>about $227 million</w:t>
      </w:r>
      <w:bookmarkEnd w:id="12"/>
      <w:r>
        <w:rPr>
          <w:rFonts w:ascii="Calibri" w:hAnsi="Calibri"/>
          <w:b w:val="0"/>
          <w:i w:val="0"/>
          <w:color w:val="1A1A1A"/>
          <w:sz w:val="21"/>
        </w:rPr>
        <w:t xml:space="preserve">, and documented power cost recovery up to </w:t>
      </w:r>
      <w:bookmarkStart w:id="13" w:name="citei-c14"/>
      <w:r>
        <w:rPr>
          <w:rFonts w:ascii="Calibri" w:hAnsi="Calibri"/>
          <w:b w:val="0"/>
          <w:i w:val="0"/>
          <w:color w:val="1A1A1A"/>
          <w:sz w:val="21"/>
        </w:rPr>
        <w:t>about $157 million</w:t>
      </w:r>
      <w:bookmarkEnd w:id="13"/>
      <w:r>
        <w:rPr>
          <w:rFonts w:ascii="Calibri" w:hAnsi="Calibri"/>
          <w:b w:val="0"/>
          <w:i w:val="0"/>
          <w:color w:val="1A1A1A"/>
          <w:sz w:val="21"/>
        </w:rPr>
        <w:t>.</w:t>
      </w:r>
    </w:p>
    <w:p>
      <w:pPr>
        <w:pStyle w:val="Normal"/>
        <w:spacing w:before="120" w:after="60" w:line="252"/>
        <w:rPr>
          <w:rFonts w:ascii="Calibri" w:hAnsi="Calibri"/>
          <w:b/>
          <w:i w:val="0"/>
          <w:color w:val="002060"/>
          <w:sz w:val="22"/>
        </w:rPr>
      </w:pPr>
      <w:r>
        <w:rPr>
          <w:rFonts w:ascii="Calibri" w:hAnsi="Calibri"/>
          <w:b/>
          <w:i w:val="0"/>
          <w:color w:val="002060"/>
          <w:sz w:val="22"/>
        </w:rPr>
        <w:t>3. Net working capital and debt-like items</w:t>
      </w:r>
    </w:p>
    <w:p>
      <w:pPr>
        <w:pStyle w:val="Normal"/>
        <w:spacing w:before="0" w:after="120" w:line="252"/>
        <w:rPr>
          <w:rFonts w:ascii="Calibri" w:hAnsi="Calibri"/>
          <w:b w:val="0"/>
          <w:i w:val="0"/>
          <w:color w:val="1A1A1A"/>
          <w:sz w:val="21"/>
        </w:rPr>
      </w:pPr>
      <w:r>
        <w:rPr>
          <w:rFonts w:ascii="Calibri" w:hAnsi="Calibri"/>
          <w:b w:val="0"/>
          <w:i w:val="0"/>
          <w:color w:val="1A1A1A"/>
          <w:sz w:val="21"/>
        </w:rPr>
        <w:t xml:space="preserve">We accept the trailing twelve-month methodology in the sell-side QoE, which proposes a peg of </w:t>
      </w:r>
      <w:bookmarkStart w:id="14" w:name="citei-c15"/>
      <w:r>
        <w:rPr>
          <w:rFonts w:ascii="Calibri" w:hAnsi="Calibri"/>
          <w:b w:val="0"/>
          <w:i w:val="0"/>
          <w:color w:val="1A1A1A"/>
          <w:sz w:val="21"/>
        </w:rPr>
        <w:t>$(11.8) million</w:t>
      </w:r>
      <w:bookmarkEnd w:id="14"/>
      <w:r>
        <w:rPr>
          <w:rFonts w:ascii="Calibri" w:hAnsi="Calibri"/>
          <w:b w:val="0"/>
          <w:i w:val="0"/>
          <w:color w:val="1A1A1A"/>
          <w:sz w:val="21"/>
        </w:rPr>
        <w:t xml:space="preserve">, subject to confirming the definition in Phase II. We expect to treat as indebtedness, in addition to borrowed money, the items the QoE identifies at December 31, 2025 (lease liabilities, the PHX II litigation accrual, unpaid severance and construction retentions; </w:t>
      </w:r>
      <w:bookmarkStart w:id="15" w:name="citei-c16"/>
      <w:r>
        <w:rPr>
          <w:rFonts w:ascii="Calibri" w:hAnsi="Calibri"/>
          <w:b w:val="0"/>
          <w:i w:val="0"/>
          <w:color w:val="1A1A1A"/>
          <w:sz w:val="21"/>
        </w:rPr>
        <w:t>$1,506.9 million</w:t>
      </w:r>
      <w:bookmarkEnd w:id="15"/>
      <w:r>
        <w:rPr>
          <w:rFonts w:ascii="Calibri" w:hAnsi="Calibri"/>
          <w:b w:val="0"/>
          <w:i w:val="0"/>
          <w:color w:val="1A1A1A"/>
          <w:sz w:val="21"/>
        </w:rPr>
        <w:t xml:space="preserve"> of net debt and debt-like items in total), the unaccrued balance of the PHX II mechanic's lien claim, accrued and unpaid capex, and the </w:t>
      </w:r>
      <w:bookmarkStart w:id="16" w:name="citei-c17"/>
      <w:r>
        <w:rPr>
          <w:rFonts w:ascii="Calibri" w:hAnsi="Calibri"/>
          <w:b w:val="0"/>
          <w:i w:val="0"/>
          <w:color w:val="1A1A1A"/>
          <w:sz w:val="21"/>
        </w:rPr>
        <w:t>$6.5 million</w:t>
      </w:r>
      <w:bookmarkEnd w:id="16"/>
      <w:r>
        <w:rPr>
          <w:rFonts w:ascii="Calibri" w:hAnsi="Calibri"/>
          <w:b w:val="0"/>
          <w:i w:val="0"/>
          <w:color w:val="1A1A1A"/>
          <w:sz w:val="21"/>
        </w:rPr>
        <w:t xml:space="preserve"> employee retention pool, which we regard as a seller cost.</w:t>
      </w:r>
    </w:p>
    <w:p>
      <w:pPr>
        <w:pStyle w:val="Normal"/>
        <w:spacing w:before="120" w:after="60" w:line="252"/>
        <w:rPr>
          <w:rFonts w:ascii="Calibri" w:hAnsi="Calibri"/>
          <w:b/>
          <w:i w:val="0"/>
          <w:color w:val="002060"/>
          <w:sz w:val="22"/>
        </w:rPr>
      </w:pPr>
      <w:r>
        <w:rPr>
          <w:rFonts w:ascii="Calibri" w:hAnsi="Calibri"/>
          <w:b/>
          <w:i w:val="0"/>
          <w:color w:val="002060"/>
          <w:sz w:val="22"/>
        </w:rPr>
        <w:t>4. Financing</w:t>
      </w:r>
    </w:p>
    <w:p>
      <w:pPr>
        <w:pStyle w:val="Normal"/>
        <w:spacing w:before="0" w:after="120" w:line="252"/>
        <w:rPr>
          <w:rFonts w:ascii="Calibri" w:hAnsi="Calibri"/>
          <w:b w:val="0"/>
          <w:i w:val="0"/>
          <w:color w:val="1A1A1A"/>
          <w:sz w:val="21"/>
        </w:rPr>
      </w:pPr>
      <w:r>
        <w:rPr>
          <w:rFonts w:ascii="Calibri" w:hAnsi="Calibri"/>
          <w:b w:val="0"/>
          <w:i w:val="0"/>
          <w:color w:val="1A1A1A"/>
          <w:sz w:val="21"/>
        </w:rPr>
        <w:t xml:space="preserve">[Equity sources and amounts.] We expect to fund the purchase price with equity from [fund] and committed senior secured debt. We will evaluate the staple terms (a </w:t>
      </w:r>
      <w:bookmarkStart w:id="17" w:name="citei-c18"/>
      <w:r>
        <w:rPr>
          <w:rFonts w:ascii="Calibri" w:hAnsi="Calibri"/>
          <w:b w:val="0"/>
          <w:i w:val="0"/>
          <w:color w:val="1A1A1A"/>
          <w:sz w:val="21"/>
        </w:rPr>
        <w:t>$1,344.0 million</w:t>
      </w:r>
      <w:bookmarkEnd w:id="17"/>
      <w:r>
        <w:rPr>
          <w:rFonts w:ascii="Calibri" w:hAnsi="Calibri"/>
          <w:b w:val="0"/>
          <w:i w:val="0"/>
          <w:color w:val="1A1A1A"/>
          <w:sz w:val="21"/>
        </w:rPr>
        <w:t xml:space="preserve"> term loan sized at 6.0x the seller's EBITDA); on our earnings base we expect lower first-lien leverage. Our final bid will be fully financed with no financing condition. We note that remaining spend on capacity in flight exceeds undrawn construction facilities by </w:t>
      </w:r>
      <w:bookmarkStart w:id="18" w:name="citei-c19"/>
      <w:r>
        <w:rPr>
          <w:rFonts w:ascii="Calibri" w:hAnsi="Calibri"/>
          <w:b w:val="0"/>
          <w:i w:val="0"/>
          <w:color w:val="1A1A1A"/>
          <w:sz w:val="21"/>
        </w:rPr>
        <w:t>about $365 million</w:t>
      </w:r>
      <w:bookmarkEnd w:id="18"/>
      <w:r>
        <w:rPr>
          <w:rFonts w:ascii="Calibri" w:hAnsi="Calibri"/>
          <w:b w:val="0"/>
          <w:i w:val="0"/>
          <w:color w:val="1A1A1A"/>
          <w:sz w:val="21"/>
        </w:rPr>
        <w:t>, which we will fund in our sources and uses.</w:t>
      </w:r>
    </w:p>
    <w:p>
      <w:pPr>
        <w:pStyle w:val="Normal"/>
        <w:spacing w:before="120" w:after="60" w:line="252"/>
        <w:rPr>
          <w:rFonts w:ascii="Calibri" w:hAnsi="Calibri"/>
          <w:b/>
          <w:i w:val="0"/>
          <w:color w:val="002060"/>
          <w:sz w:val="22"/>
        </w:rPr>
      </w:pPr>
      <w:r>
        <w:rPr>
          <w:rFonts w:ascii="Calibri" w:hAnsi="Calibri"/>
          <w:b/>
          <w:i w:val="0"/>
          <w:color w:val="002060"/>
          <w:sz w:val="22"/>
        </w:rPr>
        <w:t>5. Key Phase II diligence</w:t>
      </w:r>
    </w:p>
    <w:p>
      <w:pPr>
        <w:pStyle w:val="Normal"/>
        <w:numPr>
          <w:ilvl w:val="0"/>
          <w:numId w:val="2"/>
        </w:numPr>
        <w:spacing w:before="0" w:after="40" w:line="252"/>
        <w:ind w:left="360" w:firstLine="-240"/>
        <w:rPr>
          <w:rFonts w:ascii="Calibri" w:hAnsi="Calibri"/>
          <w:b w:val="0"/>
          <w:i w:val="0"/>
          <w:color w:val="1A1A1A"/>
          <w:sz w:val="21"/>
        </w:rPr>
      </w:pPr>
      <w:r>
        <w:rPr>
          <w:rFonts w:ascii="Calibri" w:hAnsi="Calibri"/>
          <w:b w:val="0"/>
          <w:i w:val="0"/>
          <w:color w:val="1A1A1A"/>
          <w:sz w:val="21"/>
        </w:rPr>
        <w:t>Executed lease amendments and phase supplements reconciling every hyperscale expiry to the rent roll.</w:t>
      </w:r>
    </w:p>
    <w:p>
      <w:pPr>
        <w:pStyle w:val="Normal"/>
        <w:numPr>
          <w:ilvl w:val="0"/>
          <w:numId w:val="2"/>
        </w:numPr>
        <w:spacing w:before="0" w:after="40" w:line="252"/>
        <w:ind w:left="360" w:firstLine="-240"/>
        <w:rPr>
          <w:rFonts w:ascii="Calibri" w:hAnsi="Calibri"/>
          <w:b w:val="0"/>
          <w:i w:val="0"/>
          <w:color w:val="1A1A1A"/>
          <w:sz w:val="21"/>
        </w:rPr>
      </w:pPr>
      <w:r>
        <w:rPr>
          <w:rFonts w:ascii="Calibri" w:hAnsi="Calibri"/>
          <w:b w:val="0"/>
          <w:i w:val="0"/>
          <w:color w:val="1A1A1A"/>
          <w:sz w:val="21"/>
        </w:rPr>
        <w:t>FY25 utility invoices and tenant power billing reconciled to the P&amp;L.</w:t>
      </w:r>
    </w:p>
    <w:p>
      <w:pPr>
        <w:pStyle w:val="Normal"/>
        <w:numPr>
          <w:ilvl w:val="0"/>
          <w:numId w:val="2"/>
        </w:numPr>
        <w:spacing w:before="0" w:after="40" w:line="252"/>
        <w:ind w:left="360" w:firstLine="-240"/>
        <w:rPr>
          <w:rFonts w:ascii="Calibri" w:hAnsi="Calibri"/>
          <w:b w:val="0"/>
          <w:i w:val="0"/>
          <w:color w:val="1A1A1A"/>
          <w:sz w:val="21"/>
        </w:rPr>
      </w:pPr>
      <w:r>
        <w:rPr>
          <w:rFonts w:ascii="Calibri" w:hAnsi="Calibri"/>
          <w:b w:val="0"/>
          <w:i w:val="0"/>
          <w:color w:val="1A1A1A"/>
          <w:sz w:val="21"/>
        </w:rPr>
        <w:t>Other income contracts, transaction cost invoices and the Q1 FY26 cut-off and LTM.</w:t>
      </w:r>
    </w:p>
    <w:p>
      <w:pPr>
        <w:pStyle w:val="Normal"/>
        <w:numPr>
          <w:ilvl w:val="0"/>
          <w:numId w:val="2"/>
        </w:numPr>
        <w:spacing w:before="0" w:after="40" w:line="252"/>
        <w:ind w:left="360" w:firstLine="-240"/>
        <w:rPr>
          <w:rFonts w:ascii="Calibri" w:hAnsi="Calibri"/>
          <w:b w:val="0"/>
          <w:i w:val="0"/>
          <w:color w:val="1A1A1A"/>
          <w:sz w:val="21"/>
        </w:rPr>
      </w:pPr>
      <w:r>
        <w:rPr>
          <w:rFonts w:ascii="Calibri" w:hAnsi="Calibri"/>
          <w:b w:val="0"/>
          <w:i w:val="0"/>
          <w:color w:val="1A1A1A"/>
          <w:sz w:val="21"/>
        </w:rPr>
        <w:t>PHX II estimate at completion, contingency log and lien mediation; sources and uses to completion.</w:t>
      </w:r>
    </w:p>
    <w:p>
      <w:pPr>
        <w:pStyle w:val="Normal"/>
        <w:numPr>
          <w:ilvl w:val="0"/>
          <w:numId w:val="2"/>
        </w:numPr>
        <w:spacing w:before="0" w:after="40" w:line="252"/>
        <w:ind w:left="360" w:firstLine="-240"/>
        <w:rPr>
          <w:rFonts w:ascii="Calibri" w:hAnsi="Calibri"/>
          <w:b w:val="0"/>
          <w:i w:val="0"/>
          <w:color w:val="1A1A1A"/>
          <w:sz w:val="21"/>
        </w:rPr>
      </w:pPr>
      <w:r>
        <w:rPr>
          <w:rFonts w:ascii="Calibri" w:hAnsi="Calibri"/>
          <w:b w:val="0"/>
          <w:i w:val="0"/>
          <w:color w:val="1A1A1A"/>
          <w:sz w:val="21"/>
        </w:rPr>
        <w:t>Lender, ground lessor (RNO I) and other change-of-control consents.</w:t>
      </w:r>
    </w:p>
    <w:p>
      <w:pPr>
        <w:pStyle w:val="Normal"/>
        <w:spacing w:before="40" w:after="120" w:line="252"/>
        <w:rPr>
          <w:rFonts w:ascii="Calibri" w:hAnsi="Calibri"/>
          <w:b w:val="0"/>
          <w:i w:val="0"/>
          <w:color w:val="1A1A1A"/>
          <w:sz w:val="21"/>
        </w:rPr>
      </w:pPr>
      <w:r>
        <w:rPr>
          <w:rFonts w:ascii="Calibri" w:hAnsi="Calibri"/>
          <w:b w:val="0"/>
          <w:i w:val="0"/>
          <w:color w:val="1A1A1A"/>
          <w:sz w:val="21"/>
        </w:rPr>
        <w:t>[Advisers engaged or to be engaged: legal, accounting and tax, technical and power, insurance.] We expect to complete confirmatory diligence within [six to eight] weeks of Phase II access.</w:t>
      </w:r>
    </w:p>
    <w:p>
      <w:pPr>
        <w:pStyle w:val="Normal"/>
        <w:spacing w:before="120" w:after="60" w:line="252"/>
        <w:rPr>
          <w:rFonts w:ascii="Calibri" w:hAnsi="Calibri"/>
          <w:b/>
          <w:i w:val="0"/>
          <w:color w:val="002060"/>
          <w:sz w:val="22"/>
        </w:rPr>
      </w:pPr>
      <w:r>
        <w:rPr>
          <w:rFonts w:ascii="Calibri" w:hAnsi="Calibri"/>
          <w:b/>
          <w:i w:val="0"/>
          <w:color w:val="002060"/>
          <w:sz w:val="22"/>
        </w:rPr>
        <w:t>6. Approvals, timing and other terms</w:t>
      </w:r>
    </w:p>
    <w:p>
      <w:pPr>
        <w:pStyle w:val="Normal"/>
        <w:spacing w:before="0" w:after="120" w:line="252"/>
        <w:rPr>
          <w:rFonts w:ascii="Calibri" w:hAnsi="Calibri"/>
          <w:b w:val="0"/>
          <w:i w:val="0"/>
          <w:color w:val="1A1A1A"/>
          <w:sz w:val="21"/>
        </w:rPr>
      </w:pPr>
      <w:r>
        <w:rPr>
          <w:rFonts w:ascii="Calibri" w:hAnsi="Calibri"/>
          <w:b w:val="0"/>
          <w:i w:val="0"/>
          <w:color w:val="1A1A1A"/>
          <w:sz w:val="21"/>
        </w:rPr>
        <w:t>This indication has been approved by [our investment committee]; signing requires final investment committee approval. We expect a Hart-Scott-Rodino filing and [no / a voluntary] CFIUS filing given our ownership. We would aim to sign within [eight] weeks of Phase II access and close on receipt of approvals and consents. We intend to retain the senior management team and will not discuss employment terms without Kingsmill's written authorisation. We expect to use representations and warranties insurance.</w:t>
      </w:r>
    </w:p>
    <w:p>
      <w:pPr>
        <w:pStyle w:val="Normal"/>
        <w:spacing w:before="0" w:after="120" w:line="252"/>
        <w:rPr>
          <w:rFonts w:ascii="Calibri" w:hAnsi="Calibri"/>
          <w:b w:val="0"/>
          <w:i w:val="0"/>
          <w:color w:val="1A1A1A"/>
          <w:sz w:val="21"/>
        </w:rPr>
      </w:pPr>
      <w:r>
        <w:rPr>
          <w:rFonts w:ascii="Calibri" w:hAnsi="Calibri"/>
          <w:b w:val="0"/>
          <w:i w:val="0"/>
          <w:color w:val="1A1A1A"/>
          <w:sz w:val="21"/>
        </w:rPr>
        <w:t>This letter is a non-binding indication of interest and creates no obligation on any party; any transaction is subject to diligence, final approvals and definitive agreements. Contacts: [names, titles, telephone, email].</w:t>
      </w:r>
    </w:p>
    <w:p>
      <w:pPr>
        <w:pStyle w:val="Normal"/>
        <w:spacing w:before="120" w:after="400" w:line="252"/>
        <w:rPr>
          <w:rFonts w:ascii="Calibri" w:hAnsi="Calibri"/>
          <w:b w:val="0"/>
          <w:i w:val="0"/>
          <w:color w:val="1A1A1A"/>
          <w:sz w:val="21"/>
        </w:rPr>
      </w:pPr>
      <w:r>
        <w:rPr>
          <w:rFonts w:ascii="Calibri" w:hAnsi="Calibri"/>
          <w:b w:val="0"/>
          <w:i w:val="0"/>
          <w:color w:val="1A1A1A"/>
          <w:sz w:val="21"/>
        </w:rPr>
        <w:t>Very truly yours,</w:t>
      </w:r>
    </w:p>
    <w:p>
      <w:pPr>
        <w:pStyle w:val="Normal"/>
        <w:spacing w:before="0" w:after="0" w:line="252"/>
        <w:rPr>
          <w:rFonts w:ascii="Calibri" w:hAnsi="Calibri"/>
          <w:b w:val="0"/>
          <w:i w:val="0"/>
          <w:color w:val="1A1A1A"/>
          <w:sz w:val="21"/>
        </w:rPr>
      </w:pPr>
      <w:r>
        <w:rPr>
          <w:rFonts w:ascii="Calibri" w:hAnsi="Calibri"/>
          <w:b w:val="0"/>
          <w:i w:val="0"/>
          <w:color w:val="1A1A1A"/>
          <w:sz w:val="21"/>
        </w:rPr>
        <w:t xml:space="preserve">[Purchaser name]
By: ______________________
Name: [Authorised officer]
Title: [Title]</w:t>
      </w:r>
    </w:p>
    <w:sectPr>
      <w:pgSz w:w="12240" w:h="15840"/>
      <w:pgMar w:top="1280" w:right="1280" w:bottom="1280" w:left="1280" w:header="720" w:footer="720" w:gutter="0"/>
    </w:sectPr>
  </w:body>
</w:document>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2"/>
  </w:num>
</w:numbering>
</file>

<file path=word/styles.xml><?xml version="1.0" encoding="utf-8"?>
<w:styles xmlns:w="http://schemas.openxmlformats.org/wordprocessingml/2006/main">
  <w:style w:type="paragraph" w:styleId="Normal" w:default="1">
    <w:name w:val="Normal"/>
    <w:rPr>
      <w:sz w:val="22"/>
    </w:rPr>
  </w:style>
  <w:style w:type="paragraph" w:styleId="Heading1" w:customStyle="1">
    <w:name w:val="Heading 1"/>
    <w:qFormat/>
    <w:pPr>
      <w:spacing w:before="240" w:after="80"/>
    </w:pPr>
    <w:rPr>
      <w:rFonts w:ascii="Arial"/>
      <w:b/>
      <w:color w:val="17375E"/>
      <w:sz w:val="28"/>
    </w:rPr>
  </w:style>
  <w:style w:type="paragraph" w:styleId="Heading2" w:customStyle="1">
    <w:name w:val="Heading 2"/>
    <w:qFormat/>
    <w:pPr>
      <w:spacing w:before="160" w:after="60"/>
    </w:pPr>
    <w:rPr>
      <w:rFonts w:ascii="Arial"/>
      <w:b/>
      <w:color w:val="1F497D"/>
      <w:sz w:val="24"/>
    </w:rPr>
  </w:style>
  <w:style w:type="paragraph" w:styleId="Heading3" w:customStyle="1">
    <w:name w:val="Heading 3"/>
    <w:qFormat/>
    <w:pPr>
      <w:spacing w:before="120" w:after="60"/>
    </w:pPr>
    <w:rPr>
      <w:rFonts w:ascii="Arial"/>
      <w:b/>
      <w:color w:val="365F91"/>
      <w:sz w:val="22"/>
    </w:rPr>
  </w:style>
  <w:style w:type="paragraph" w:styleId="Heading4" w:customStyle="1">
    <w:name w:val="Heading 4"/>
    <w:qFormat/>
    <w:pPr>
      <w:spacing w:before="100" w:after="40"/>
    </w:pPr>
    <w:rPr>
      <w:rFonts w:ascii="Arial"/>
      <w:b/>
      <w:color w:val="365F91"/>
      <w:sz w:val="20"/>
    </w:rPr>
  </w:style>
  <w:style w:type="paragraph" w:styleId="Heading5" w:customStyle="1">
    <w:name w:val="Heading 5"/>
    <w:qFormat/>
    <w:pPr>
      <w:spacing w:before="80" w:after="40"/>
    </w:pPr>
    <w:rPr>
      <w:rFonts w:ascii="Arial"/>
      <w:b/>
      <w:color w:val="595959"/>
      <w:sz w:val="18"/>
    </w:rPr>
  </w:style>
  <w:style w:type="paragraph" w:styleId="Heading6" w:customStyle="1">
    <w:name w:val="Heading 6"/>
    <w:qFormat/>
    <w:pPr>
      <w:spacing w:before="80" w:after="40"/>
    </w:pPr>
    <w:rPr>
      <w:rFonts w:ascii="Arial"/>
      <w:b/>
      <w:i/>
      <w:color w:val="595959"/>
      <w:sz w:val="18"/>
    </w:rPr>
  </w:style>
  <w:style w:type="paragraph" w:styleId="Title" w:customStyle="1">
    <w:name w:val="Title"/>
    <w:qFormat/>
    <w:pPr>
      <w:spacing w:after="60"/>
      <w:jc w:val="center"/>
    </w:pPr>
    <w:rPr>
      <w:rFonts w:ascii="Arial"/>
      <w:b/>
      <w:color w:val="17375E"/>
      <w:sz w:val="52"/>
    </w:rPr>
  </w:style>
  <w:style w:type="paragraph" w:styleId="Subtitle" w:customStyle="1">
    <w:name w:val="Subtitle"/>
    <w:qFormat/>
    <w:pPr>
      <w:spacing w:after="240"/>
      <w:jc w:val="center"/>
    </w:pPr>
    <w:rPr>
      <w:rFonts w:ascii="Arial"/>
      <w:color w:val="1F497D"/>
      <w:sz w:val="28"/>
    </w:rPr>
  </w:style>
  <w:style w:type="paragraph" w:styleId="Quote" w:customStyle="1">
    <w:name w:val="Quote"/>
    <w:qFormat/>
    <w:pPr>
      <w:spacing w:after="120"/>
      <w:ind w:left="720" w:right="720"/>
    </w:pPr>
    <w:rPr>
      <w:rFonts w:ascii="Arial"/>
      <w:i/>
      <w:color w:val="365F91"/>
      <w:sz w:val="21"/>
    </w:rPr>
  </w:style>
  <w:style w:type="paragraph" w:styleId="Caption" w:customStyle="1">
    <w:name w:val="Caption"/>
    <w:qFormat/>
    <w:pPr>
      <w:spacing w:after="60"/>
    </w:pPr>
    <w:rPr>
      <w:rFonts w:ascii="Arial"/>
      <w:i/>
      <w:color w:val="595959"/>
      <w:sz w:val="18"/>
    </w:rPr>
  </w:style>
  <w:style w:type="paragraph" w:styleId="ListParagraph">
    <w:name w:val="List Paragraph"/>
    <w:basedOn w:val="Normal"/>
    <w:pPr>
      <w:ind w:left="720"/>
    </w:pPr>
  </w:style>
  <w:style w:type="character" w:styleId="Strong">
    <w:name w:val="Strong"/>
    <w:rPr>
      <w:b/>
    </w:rPr>
  </w:style>
  <w:style w:type="character" w:styleId="Emphasis">
    <w:name w:val="Emphasis"/>
    <w:rPr>
      <w:i/>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 w:customStyle="1">
    <w:name w:val="Body"/>
    <w:qFormat/>
    <w:pPr>
      <w:spacing w:after="120" w:line="264" w:lineRule="auto"/>
    </w:pPr>
    <w:rPr>
      <w:rFonts w:ascii="Arial"/>
      <w:sz w:val="21"/>
    </w:rPr>
  </w:style>
  <w:style w:type="paragraph" w:styleId="Callout" w:customStyle="1">
    <w:name w:val="Callout"/>
    <w:qFormat/>
    <w:pPr>
      <w:shd w:val="clear" w:fill="D5DCE4"/>
      <w:spacing w:after="120"/>
      <w:ind w:left="360"/>
    </w:pPr>
    <w:rPr>
      <w:rFonts w:ascii="Arial"/>
      <w:b/>
      <w:color w:val="1F497D"/>
      <w:sz w:val="21"/>
    </w:rPr>
  </w:style>
  <w:style w:type="paragraph" w:styleId="List" w:customStyle="1">
    <w:name w:val="List Bullet"/>
    <w:qFormat/>
    <w:pPr>
      <w:spacing w:after="40"/>
      <w:ind w:left="360" w:hanging="180"/>
    </w:pPr>
    <w:rPr>
      <w:rFonts w:ascii="Arial"/>
      <w:sz w:val="21"/>
    </w:rPr>
  </w:style>
  <w:style w:type="paragraph" w:styleId="KeyStat" w:customStyle="1">
    <w:name w:val="Key Stat"/>
    <w:qFormat/>
    <w:pPr>
      <w:spacing w:after="0"/>
    </w:pPr>
    <w:rPr>
      <w:rFonts w:ascii="Arial"/>
      <w:b/>
      <w:color w:val="17375E"/>
      <w:sz w:val="5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17375E"/>
      </a:accent1>
      <a:accent2>
        <a:srgbClr val="1F497D"/>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majorFont>
      <a:minorFont>
        <a:latin typeface="Arial"/>
        <a:ea typeface=""/>
        <a:cs typeface=""/>
      </a:minorFont>
    </a:fontScheme>
    <a:fmtScheme name="Office">
      <a:fillStyleLst>
        <a:solidFill>
          <a:schemeClr val="phClr"/>
        </a:solidFill>
        <a:solidFill>
          <a:schemeClr val="phClr"/>
        </a:solidFill>
        <a:solidFill>
          <a:schemeClr val="phClr"/>
        </a:solidFill>
      </a:fillStyleLst>
      <a:lnStyleLst>
        <a:ln w="6350">
          <a:solidFill>
            <a:schemeClr val="phClr"/>
          </a:solidFill>
        </a:ln>
        <a:ln w="12700">
          <a:solidFill>
            <a:schemeClr val="phClr"/>
          </a:solidFill>
        </a:ln>
        <a:ln w="19050">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Voltaic indication of interest</dc:title>
  <dc:creator>Buy-side deal team</dc:creator>
</cp:coreProperties>
</file>