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p14="http://schemas.microsoft.com/office/word/2010/wordprocessingDrawing" xmlns:wne="http://schemas.microsoft.com/office/word/2006/wordml" mc:Ignorable="w14 wp14">
  <w:body>
    <w:p>
      <w:r>
        <w:t/>
      </w:r>
    </w:p>
    <w:p>
      <w:pPr>
        <w:pStyle w:val="Normal"/>
        <w:spacing w:before="0" w:after="20"/>
        <w:rPr>
          <w:b/>
          <w:color w:val="002060"/>
          <w:sz w:val="36"/>
        </w:rPr>
      </w:pPr>
      <w:r>
        <w:rPr>
          <w:b/>
          <w:color w:val="002060"/>
          <w:sz w:val="36"/>
        </w:rPr>
        <w:t>Project Voltaic: Investment Committee Memorandum</w:t>
      </w:r>
    </w:p>
    <w:p>
      <w:pPr>
        <w:pStyle w:val="Normal"/>
        <w:spacing w:before="0" w:after="20"/>
        <w:rPr>
          <w:color w:val="7F7F7F"/>
          <w:sz w:val="19"/>
        </w:rPr>
      </w:pPr>
      <w:r>
        <w:rPr>
          <w:color w:val="7F7F7F"/>
          <w:sz w:val="19"/>
        </w:rPr>
        <w:t xml:space="preserve">Acquisition of 100% of Ironvale Digital Infrastructure, LLC  |  Final bid recommendation  |  Buy-side deal team  |  October 23, 2026</w:t>
      </w:r>
    </w:p>
    <w:p>
      <w:pPr>
        <w:pStyle w:val="Normal"/>
        <w:spacing w:before="0" w:after="40"/>
        <w:rPr>
          <w:b/>
          <w:i/>
          <w:color w:val="C0392B"/>
          <w:sz w:val="19"/>
        </w:rPr>
      </w:pPr>
      <w:r>
        <w:rPr>
          <w:b/>
          <w:i/>
          <w:color w:val="C0392B"/>
          <w:sz w:val="19"/>
        </w:rPr>
        <w:t>Illustrative: Ironvale Digital Infrastructure is a fictional company (PE Bench)</w:t>
      </w:r>
    </w:p>
    <w:p>
      <w:pPr>
        <w:pStyle w:val="Normal"/>
        <w:spacing w:before="0" w:after="80"/>
        <w:rPr>
          <w:i/>
          <w:color w:val="7F7F7F"/>
          <w:sz w:val="17"/>
        </w:rPr>
      </w:pPr>
      <w:r>
        <w:rPr>
          <w:i/>
          <w:color w:val="7F7F7F"/>
          <w:sz w:val="17"/>
        </w:rPr>
        <w:t xml:space="preserve">US$ millions unless stated. Buyer FY25 adjusted EBITDA is </w:t>
      </w:r>
      <w:bookmarkStart w:id="0" w:name="citei-c559"/>
      <w:r>
        <w:rPr>
          <w:i/>
          <w:color w:val="7F7F7F"/>
          <w:sz w:val="17"/>
        </w:rPr>
        <w:t>$206.9M</w:t>
      </w:r>
      <w:bookmarkEnd w:id="0"/>
      <w:r>
        <w:rPr>
          <w:i/>
          <w:color w:val="7F7F7F"/>
          <w:sz w:val="17"/>
        </w:rPr>
        <w:t xml:space="preserve"> (LTM Mar-26 </w:t>
      </w:r>
      <w:bookmarkStart w:id="1" w:name="citei-c560"/>
      <w:r>
        <w:rPr>
          <w:i/>
          <w:color w:val="7F7F7F"/>
          <w:sz w:val="17"/>
        </w:rPr>
        <w:t>$217.9M</w:t>
      </w:r>
      <w:bookmarkEnd w:id="1"/>
      <w:r>
        <w:rPr>
          <w:i/>
          <w:color w:val="7F7F7F"/>
          <w:sz w:val="17"/>
        </w:rPr>
        <w:t xml:space="preserve">; cash basis </w:t>
      </w:r>
      <w:bookmarkStart w:id="2" w:name="citei-c561"/>
      <w:r>
        <w:rPr>
          <w:i/>
          <w:color w:val="7F7F7F"/>
          <w:sz w:val="17"/>
        </w:rPr>
        <w:t>$198.5M</w:t>
      </w:r>
      <w:bookmarkEnd w:id="2"/>
      <w:r>
        <w:rPr>
          <w:i/>
          <w:color w:val="7F7F7F"/>
          <w:sz w:val="17"/>
        </w:rPr>
        <w:t xml:space="preserve">) and net debt and debt-like items are </w:t>
      </w:r>
      <w:bookmarkStart w:id="3" w:name="citei-c562"/>
      <w:r>
        <w:rPr>
          <w:i/>
          <w:color w:val="7F7F7F"/>
          <w:sz w:val="17"/>
        </w:rPr>
        <w:t>$1,584.0M</w:t>
      </w:r>
      <w:bookmarkEnd w:id="3"/>
      <w:r>
        <w:rPr>
          <w:i/>
          <w:color w:val="7F7F7F"/>
          <w:sz w:val="17"/>
        </w:rPr>
        <w:t xml:space="preserve">. Each figure carries its source by data room document number and page; computed figures come from the returns case and CIM tie-out workbooks. Figures marked † derive from executed wholesale leases in the clean team room and are shown only in aggregate, with hyperscale tenants anonymized as </w:t>
      </w:r>
      <w:bookmarkStart w:id="4" w:name="citei-c563"/>
      <w:r>
        <w:rPr>
          <w:i/>
          <w:color w:val="7F7F7F"/>
          <w:sz w:val="17"/>
        </w:rPr>
        <w:t>Tenant A, B and C</w:t>
      </w:r>
      <w:bookmarkEnd w:id="4"/>
      <w:r>
        <w:rPr>
          <w:i/>
          <w:color w:val="7F7F7F"/>
          <w:sz w:val="17"/>
        </w:rPr>
        <w:t>.</w:t>
      </w:r>
    </w:p>
    <w:p>
      <w:pPr>
        <w:pStyle w:val="Heading1"/>
        <w:keepNext/>
        <w:spacing w:before="200" w:after="60"/>
      </w:pPr>
      <w:r>
        <w:t>1. Recommendation and price</w:t>
      </w:r>
    </w:p>
    <w:p>
      <w:pPr>
        <w:pStyle w:val="Normal"/>
        <w:spacing w:before="0" w:after="100"/>
      </w:pPr>
      <w:r>
        <w:t xml:space="preserve">We recommend that the Committee approve a final bid of </w:t>
      </w:r>
      <w:bookmarkStart w:id="5" w:name="citei-c564"/>
      <w:r>
        <w:t>$4,591M of enterprise value</w:t>
      </w:r>
      <w:bookmarkEnd w:id="5"/>
      <w:r>
        <w:t xml:space="preserve"> for 100% of the equity of Ironvale Digital Infrastructure, LLC at a 31-Dec-26 close, </w:t>
      </w:r>
      <w:bookmarkStart w:id="6" w:name="citei-c565"/>
      <w:r>
        <w:t>cash-free and debt-free with normalized working capital</w:t>
      </w:r>
      <w:bookmarkEnd w:id="6"/>
      <w:r>
        <w:t xml:space="preserve">. The bid starts from our </w:t>
      </w:r>
      <w:bookmarkStart w:id="7" w:name="citei-c566"/>
      <w:r>
        <w:t>$4,225M IOI (range $4,144M to $4,299M)</w:t>
      </w:r>
      <w:bookmarkEnd w:id="7"/>
      <w:r>
        <w:t xml:space="preserve">, which valued capacity in flight at cost to 31-Mar-26, and adds the </w:t>
      </w:r>
      <w:bookmarkStart w:id="8" w:name="citei-c567"/>
      <w:r>
        <w:t>$366M</w:t>
      </w:r>
      <w:bookmarkEnd w:id="8"/>
      <w:r>
        <w:t xml:space="preserve"> the seller is planned to spend on PHX II and ATL II from April to December 2026, credited dollar for dollar. It is the same value as the IOI, moved to the closing date.</w:t>
      </w:r>
    </w:p>
    <w:p>
      <w:pPr>
        <w:pStyle w:val="Normal"/>
        <w:spacing w:before="0" w:after="100"/>
      </w:pPr>
      <w:r>
        <w:t xml:space="preserve">Price discipline. FY26 budget adjusted EBITDA is </w:t>
      </w:r>
      <w:bookmarkStart w:id="9" w:name="citei-c568"/>
      <w:r>
        <w:t>$272.0M</w:t>
      </w:r>
      <w:bookmarkEnd w:id="9"/>
      <w:r>
        <w:t xml:space="preserve"> on the seller's definitions (NOI $293.0M less G&amp;A $38.0M plus $17.0M of other income). At 18.0x that would cost </w:t>
      </w:r>
      <w:bookmarkStart w:id="10" w:name="citei-c569"/>
      <w:r>
        <w:t>$4,896M</w:t>
      </w:r>
      <w:bookmarkEnd w:id="10"/>
      <w:r>
        <w:t xml:space="preserve">, </w:t>
      </w:r>
      <w:bookmarkStart w:id="11" w:name="citei-c570"/>
      <w:r>
        <w:t>$305M</w:t>
      </w:r>
      <w:bookmarkEnd w:id="11"/>
      <w:r>
        <w:t xml:space="preserve"> above our bid, for a </w:t>
      </w:r>
      <w:bookmarkStart w:id="12" w:name="citei-c571"/>
      <w:r>
        <w:t>7.9% gross IRR</w:t>
      </w:r>
      <w:bookmarkEnd w:id="12"/>
      <w:r>
        <w:t xml:space="preserve">. Restated on buy-side definitions (other income other than development and management fees removed, and unrecovered power deducted) the FY26 budget is </w:t>
      </w:r>
      <w:bookmarkStart w:id="13" w:name="citei-c572"/>
      <w:r>
        <w:t>$252.6M</w:t>
      </w:r>
      <w:bookmarkEnd w:id="13"/>
      <w:r>
        <w:t xml:space="preserve">, and 18.0x is </w:t>
      </w:r>
      <w:bookmarkStart w:id="14" w:name="citei-c573"/>
      <w:r>
        <w:t>$4,546M</w:t>
      </w:r>
      <w:bookmarkEnd w:id="14"/>
      <w:r>
        <w:t xml:space="preserve">. The recommended $4,591M is </w:t>
      </w:r>
      <w:bookmarkStart w:id="15" w:name="citei-c574"/>
      <w:r>
        <w:t>18.2x</w:t>
      </w:r>
      <w:bookmarkEnd w:id="15"/>
      <w:r>
        <w:t xml:space="preserve"> the budget on buy-side definitions.</w:t>
      </w:r>
    </w:p>
    <w:tbl>
      <w:tblPr>
        <w:tblW w:w="96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
      <w:tblGrid>
        <w:gridCol w:w="1440"/>
        <w:gridCol w:w="1440"/>
        <w:gridCol w:w="1440"/>
        <w:gridCol w:w="1440"/>
      </w:tblGrid>
      <w:tr>
        <w:trPr>
          <w:tblHeader/>
        </w:trPr>
        <w:tc>
          <w:tcPr>
            <w:tcW w:w="3000" w:type="dxa"/>
            <w:tcBorders>
              <w:bottom w:val="single" w:color="D9D9D9" w:sz="4" w:space="0"/>
            </w:tcBorders>
            <w:shd w:val="clear" w:fill="F2F0EC"/>
            <w:tcMar>
              <w:left w:w="60" w:type="dxa"/>
              <w:right w:w="60" w:type="dxa"/>
            </w:tcMar>
          </w:tcPr>
          <w:p>
            <w:pPr>
              <w:spacing w:before="20" w:after="20"/>
              <w:rPr>
                <w:b/>
                <w:sz w:val="18"/>
              </w:rPr>
            </w:pPr>
            <w:r>
              <w:rPr>
                <w:b/>
                <w:sz w:val="18"/>
              </w:rPr>
              <w:t/>
            </w:r>
          </w:p>
        </w:tc>
        <w:tc>
          <w:tcPr>
            <w:tcW w:w="2240" w:type="dxa"/>
            <w:tcBorders>
              <w:bottom w:val="single" w:color="D9D9D9" w:sz="4" w:space="0"/>
            </w:tcBorders>
            <w:shd w:val="clear" w:fill="F2F0EC"/>
            <w:tcMar>
              <w:left w:w="60" w:type="dxa"/>
              <w:right w:w="60" w:type="dxa"/>
            </w:tcMar>
          </w:tcPr>
          <w:p>
            <w:pPr>
              <w:spacing w:before="20" w:after="20"/>
              <w:jc w:val="right"/>
              <w:rPr>
                <w:b/>
                <w:sz w:val="18"/>
              </w:rPr>
            </w:pPr>
            <w:r>
              <w:rPr>
                <w:b/>
                <w:sz w:val="18"/>
              </w:rPr>
              <w:t>Recommended final bid</w:t>
            </w:r>
          </w:p>
        </w:tc>
        <w:tc>
          <w:tcPr>
            <w:tcW w:w="2200" w:type="dxa"/>
            <w:tcBorders>
              <w:bottom w:val="single" w:color="D9D9D9" w:sz="4" w:space="0"/>
            </w:tcBorders>
            <w:shd w:val="clear" w:fill="F2F0EC"/>
            <w:tcMar>
              <w:left w:w="60" w:type="dxa"/>
              <w:right w:w="60" w:type="dxa"/>
            </w:tcMar>
          </w:tcPr>
          <w:p>
            <w:pPr>
              <w:spacing w:before="20" w:after="20"/>
              <w:jc w:val="right"/>
              <w:rPr>
                <w:b/>
                <w:sz w:val="18"/>
              </w:rPr>
            </w:pPr>
            <w:r>
              <w:rPr>
                <w:b/>
                <w:sz w:val="18"/>
              </w:rPr>
              <w:t>18.0x FY26 budget, buy-side definitions</w:t>
            </w:r>
          </w:p>
        </w:tc>
        <w:tc>
          <w:tcPr>
            <w:tcW w:w="2240" w:type="dxa"/>
            <w:tcBorders>
              <w:bottom w:val="single" w:color="D9D9D9" w:sz="4" w:space="0"/>
            </w:tcBorders>
            <w:shd w:val="clear" w:fill="F2F0EC"/>
            <w:tcMar>
              <w:left w:w="60" w:type="dxa"/>
              <w:right w:w="60" w:type="dxa"/>
            </w:tcMar>
          </w:tcPr>
          <w:p>
            <w:pPr>
              <w:spacing w:before="20" w:after="20"/>
              <w:jc w:val="right"/>
              <w:rPr>
                <w:b/>
                <w:sz w:val="18"/>
              </w:rPr>
            </w:pPr>
            <w:r>
              <w:rPr>
                <w:b/>
                <w:sz w:val="18"/>
              </w:rPr>
              <w:t>18.0x FY26 budget, seller definitions</w:t>
            </w:r>
          </w:p>
        </w:tc>
      </w:tr>
      <w:tr>
        <w:tc>
          <w:tcPr>
            <w:tcW w:w="3000" w:type="dxa"/>
            <w:tcBorders>
              <w:bottom w:val="single" w:color="D9D9D9" w:sz="4" w:space="0"/>
            </w:tcBorders>
            <w:tcMar>
              <w:left w:w="60" w:type="dxa"/>
              <w:right w:w="60" w:type="dxa"/>
            </w:tcMar>
          </w:tcPr>
          <w:p>
            <w:pPr>
              <w:spacing w:before="20" w:after="20"/>
              <w:rPr>
                <w:sz w:val="18"/>
              </w:rPr>
            </w:pPr>
            <w:r>
              <w:rPr>
                <w:sz w:val="18"/>
              </w:rPr>
              <w:t>Enterprise value at close</w:t>
            </w:r>
          </w:p>
        </w:tc>
        <w:tc>
          <w:tcPr>
            <w:tcW w:w="2240" w:type="dxa"/>
            <w:tcBorders>
              <w:bottom w:val="single" w:color="D9D9D9" w:sz="4" w:space="0"/>
            </w:tcBorders>
            <w:shd w:val="clear" w:fill="DCE6F1"/>
            <w:tcMar>
              <w:left w:w="60" w:type="dxa"/>
              <w:right w:w="60" w:type="dxa"/>
            </w:tcMar>
          </w:tcPr>
          <w:p>
            <w:pPr>
              <w:spacing w:before="20" w:after="20"/>
              <w:jc w:val="right"/>
              <w:rPr>
                <w:sz w:val="18"/>
              </w:rPr>
            </w:pPr>
            <w:bookmarkStart w:id="16" w:name="citei-c575"/>
            <w:r>
              <w:rPr>
                <w:sz w:val="18"/>
              </w:rPr>
              <w:t>$4,591M</w:t>
            </w:r>
            <w:bookmarkEnd w:id="16"/>
          </w:p>
        </w:tc>
        <w:tc>
          <w:tcPr>
            <w:tcW w:w="2200" w:type="dxa"/>
            <w:tcBorders>
              <w:bottom w:val="single" w:color="D9D9D9" w:sz="4" w:space="0"/>
            </w:tcBorders>
            <w:tcMar>
              <w:left w:w="60" w:type="dxa"/>
              <w:right w:w="60" w:type="dxa"/>
            </w:tcMar>
          </w:tcPr>
          <w:p>
            <w:pPr>
              <w:spacing w:before="20" w:after="20"/>
              <w:jc w:val="right"/>
              <w:rPr>
                <w:sz w:val="18"/>
              </w:rPr>
            </w:pPr>
            <w:bookmarkStart w:id="17" w:name="citei-c576"/>
            <w:r>
              <w:rPr>
                <w:sz w:val="18"/>
              </w:rPr>
              <w:t>$4,546M</w:t>
            </w:r>
            <w:bookmarkEnd w:id="17"/>
          </w:p>
        </w:tc>
        <w:tc>
          <w:tcPr>
            <w:tcW w:w="2240" w:type="dxa"/>
            <w:tcBorders>
              <w:bottom w:val="single" w:color="D9D9D9" w:sz="4" w:space="0"/>
            </w:tcBorders>
            <w:tcMar>
              <w:left w:w="60" w:type="dxa"/>
              <w:right w:w="60" w:type="dxa"/>
            </w:tcMar>
          </w:tcPr>
          <w:p>
            <w:pPr>
              <w:spacing w:before="20" w:after="20"/>
              <w:jc w:val="right"/>
              <w:rPr>
                <w:sz w:val="18"/>
              </w:rPr>
            </w:pPr>
            <w:bookmarkStart w:id="18" w:name="citei-c577"/>
            <w:r>
              <w:rPr>
                <w:sz w:val="18"/>
              </w:rPr>
              <w:t>$4,896M</w:t>
            </w:r>
            <w:bookmarkEnd w:id="18"/>
          </w:p>
        </w:tc>
      </w:tr>
      <w:tr>
        <w:tc>
          <w:tcPr>
            <w:tcW w:w="3000" w:type="dxa"/>
            <w:tcBorders>
              <w:bottom w:val="single" w:color="D9D9D9" w:sz="4" w:space="0"/>
            </w:tcBorders>
            <w:tcMar>
              <w:left w:w="60" w:type="dxa"/>
              <w:right w:w="60" w:type="dxa"/>
            </w:tcMar>
          </w:tcPr>
          <w:p>
            <w:pPr>
              <w:spacing w:before="20" w:after="20"/>
              <w:rPr>
                <w:sz w:val="18"/>
              </w:rPr>
            </w:pPr>
            <w:r>
              <w:rPr>
                <w:sz w:val="18"/>
              </w:rPr>
              <w:t>x FY26 budget, seller / buy-side</w:t>
            </w:r>
          </w:p>
        </w:tc>
        <w:tc>
          <w:tcPr>
            <w:tcW w:w="2240" w:type="dxa"/>
            <w:tcBorders>
              <w:bottom w:val="single" w:color="D9D9D9" w:sz="4" w:space="0"/>
            </w:tcBorders>
            <w:shd w:val="clear" w:fill="DCE6F1"/>
            <w:tcMar>
              <w:left w:w="60" w:type="dxa"/>
              <w:right w:w="60" w:type="dxa"/>
            </w:tcMar>
          </w:tcPr>
          <w:p>
            <w:pPr>
              <w:spacing w:before="20" w:after="20"/>
              <w:jc w:val="right"/>
              <w:rPr>
                <w:sz w:val="18"/>
              </w:rPr>
            </w:pPr>
            <w:bookmarkStart w:id="19" w:name="citei-c578"/>
            <w:r>
              <w:rPr>
                <w:sz w:val="18"/>
              </w:rPr>
              <w:t>16.9x / 18.2x</w:t>
            </w:r>
            <w:bookmarkEnd w:id="19"/>
          </w:p>
        </w:tc>
        <w:tc>
          <w:tcPr>
            <w:tcW w:w="2200" w:type="dxa"/>
            <w:tcBorders>
              <w:bottom w:val="single" w:color="D9D9D9" w:sz="4" w:space="0"/>
            </w:tcBorders>
            <w:tcMar>
              <w:left w:w="60" w:type="dxa"/>
              <w:right w:w="60" w:type="dxa"/>
            </w:tcMar>
          </w:tcPr>
          <w:p>
            <w:pPr>
              <w:spacing w:before="20" w:after="20"/>
              <w:jc w:val="right"/>
              <w:rPr>
                <w:sz w:val="18"/>
              </w:rPr>
            </w:pPr>
            <w:bookmarkStart w:id="20" w:name="citei-c579"/>
            <w:r>
              <w:rPr>
                <w:sz w:val="18"/>
              </w:rPr>
              <w:t>16.7x / 18.0x</w:t>
            </w:r>
            <w:bookmarkEnd w:id="20"/>
          </w:p>
        </w:tc>
        <w:tc>
          <w:tcPr>
            <w:tcW w:w="2240" w:type="dxa"/>
            <w:tcBorders>
              <w:bottom w:val="single" w:color="D9D9D9" w:sz="4" w:space="0"/>
            </w:tcBorders>
            <w:tcMar>
              <w:left w:w="60" w:type="dxa"/>
              <w:right w:w="60" w:type="dxa"/>
            </w:tcMar>
          </w:tcPr>
          <w:p>
            <w:pPr>
              <w:spacing w:before="20" w:after="20"/>
              <w:jc w:val="right"/>
              <w:rPr>
                <w:sz w:val="18"/>
              </w:rPr>
            </w:pPr>
            <w:bookmarkStart w:id="21" w:name="citei-c580"/>
            <w:r>
              <w:rPr>
                <w:sz w:val="18"/>
              </w:rPr>
              <w:t>18.0x / 19.4x</w:t>
            </w:r>
            <w:bookmarkEnd w:id="21"/>
          </w:p>
        </w:tc>
      </w:tr>
      <w:tr>
        <w:tc>
          <w:tcPr>
            <w:tcW w:w="3000" w:type="dxa"/>
            <w:tcBorders>
              <w:bottom w:val="single" w:color="D9D9D9" w:sz="4" w:space="0"/>
            </w:tcBorders>
            <w:tcMar>
              <w:left w:w="60" w:type="dxa"/>
              <w:right w:w="60" w:type="dxa"/>
            </w:tcMar>
          </w:tcPr>
          <w:p>
            <w:pPr>
              <w:spacing w:before="20" w:after="20"/>
              <w:rPr>
                <w:sz w:val="18"/>
              </w:rPr>
            </w:pPr>
            <w:r>
              <w:rPr>
                <w:sz w:val="18"/>
              </w:rPr>
              <w:t>x buyer FY25 / LTM Mar-26 EBITDA</w:t>
            </w:r>
          </w:p>
        </w:tc>
        <w:tc>
          <w:tcPr>
            <w:tcW w:w="2240" w:type="dxa"/>
            <w:tcBorders>
              <w:bottom w:val="single" w:color="D9D9D9" w:sz="4" w:space="0"/>
            </w:tcBorders>
            <w:shd w:val="clear" w:fill="DCE6F1"/>
            <w:tcMar>
              <w:left w:w="60" w:type="dxa"/>
              <w:right w:w="60" w:type="dxa"/>
            </w:tcMar>
          </w:tcPr>
          <w:p>
            <w:pPr>
              <w:spacing w:before="20" w:after="20"/>
              <w:jc w:val="right"/>
              <w:rPr>
                <w:sz w:val="18"/>
              </w:rPr>
            </w:pPr>
            <w:bookmarkStart w:id="22" w:name="citei-c581"/>
            <w:r>
              <w:rPr>
                <w:sz w:val="18"/>
              </w:rPr>
              <w:t>22.2x / 21.1x</w:t>
            </w:r>
            <w:bookmarkEnd w:id="22"/>
          </w:p>
        </w:tc>
        <w:tc>
          <w:tcPr>
            <w:tcW w:w="2200" w:type="dxa"/>
            <w:tcBorders>
              <w:bottom w:val="single" w:color="D9D9D9" w:sz="4" w:space="0"/>
            </w:tcBorders>
            <w:tcMar>
              <w:left w:w="60" w:type="dxa"/>
              <w:right w:w="60" w:type="dxa"/>
            </w:tcMar>
          </w:tcPr>
          <w:p>
            <w:pPr>
              <w:spacing w:before="20" w:after="20"/>
              <w:jc w:val="right"/>
              <w:rPr>
                <w:sz w:val="18"/>
              </w:rPr>
            </w:pPr>
            <w:bookmarkStart w:id="23" w:name="citei-c582"/>
            <w:r>
              <w:rPr>
                <w:sz w:val="18"/>
              </w:rPr>
              <w:t>22.0x / 20.9x</w:t>
            </w:r>
            <w:bookmarkEnd w:id="23"/>
          </w:p>
        </w:tc>
        <w:tc>
          <w:tcPr>
            <w:tcW w:w="2240" w:type="dxa"/>
            <w:tcBorders>
              <w:bottom w:val="single" w:color="D9D9D9" w:sz="4" w:space="0"/>
            </w:tcBorders>
            <w:tcMar>
              <w:left w:w="60" w:type="dxa"/>
              <w:right w:w="60" w:type="dxa"/>
            </w:tcMar>
          </w:tcPr>
          <w:p>
            <w:pPr>
              <w:spacing w:before="20" w:after="20"/>
              <w:jc w:val="right"/>
              <w:rPr>
                <w:sz w:val="18"/>
              </w:rPr>
            </w:pPr>
            <w:bookmarkStart w:id="24" w:name="citei-c583"/>
            <w:r>
              <w:rPr>
                <w:sz w:val="18"/>
              </w:rPr>
              <w:t>23.7x / 22.5x</w:t>
            </w:r>
            <w:bookmarkEnd w:id="24"/>
          </w:p>
        </w:tc>
      </w:tr>
      <w:tr>
        <w:tc>
          <w:tcPr>
            <w:tcW w:w="3000" w:type="dxa"/>
            <w:tcBorders>
              <w:bottom w:val="single" w:color="D9D9D9" w:sz="4" w:space="0"/>
            </w:tcBorders>
            <w:tcMar>
              <w:left w:w="60" w:type="dxa"/>
              <w:right w:w="60" w:type="dxa"/>
            </w:tcMar>
          </w:tcPr>
          <w:p>
            <w:pPr>
              <w:spacing w:before="20" w:after="20"/>
              <w:rPr>
                <w:sz w:val="18"/>
              </w:rPr>
            </w:pPr>
            <w:r>
              <w:rPr>
                <w:sz w:val="18"/>
              </w:rPr>
              <w:t>Sponsor equity</w:t>
            </w:r>
          </w:p>
        </w:tc>
        <w:tc>
          <w:tcPr>
            <w:tcW w:w="2240" w:type="dxa"/>
            <w:tcBorders>
              <w:bottom w:val="single" w:color="D9D9D9" w:sz="4" w:space="0"/>
            </w:tcBorders>
            <w:shd w:val="clear" w:fill="DCE6F1"/>
            <w:tcMar>
              <w:left w:w="60" w:type="dxa"/>
              <w:right w:w="60" w:type="dxa"/>
            </w:tcMar>
          </w:tcPr>
          <w:p>
            <w:pPr>
              <w:spacing w:before="20" w:after="20"/>
              <w:jc w:val="right"/>
              <w:rPr>
                <w:sz w:val="18"/>
              </w:rPr>
            </w:pPr>
            <w:bookmarkStart w:id="25" w:name="citei-c584"/>
            <w:r>
              <w:rPr>
                <w:sz w:val="18"/>
              </w:rPr>
              <w:t>$3,444M</w:t>
            </w:r>
            <w:bookmarkEnd w:id="25"/>
          </w:p>
        </w:tc>
        <w:tc>
          <w:tcPr>
            <w:tcW w:w="2200" w:type="dxa"/>
            <w:tcBorders>
              <w:bottom w:val="single" w:color="D9D9D9" w:sz="4" w:space="0"/>
            </w:tcBorders>
            <w:tcMar>
              <w:left w:w="60" w:type="dxa"/>
              <w:right w:w="60" w:type="dxa"/>
            </w:tcMar>
          </w:tcPr>
          <w:p>
            <w:pPr>
              <w:spacing w:before="20" w:after="20"/>
              <w:jc w:val="right"/>
              <w:rPr>
                <w:sz w:val="18"/>
              </w:rPr>
            </w:pPr>
            <w:r>
              <w:rPr>
                <w:sz w:val="18"/>
              </w:rPr>
              <w:t>$3,399M</w:t>
            </w:r>
          </w:p>
        </w:tc>
        <w:tc>
          <w:tcPr>
            <w:tcW w:w="2240" w:type="dxa"/>
            <w:tcBorders>
              <w:bottom w:val="single" w:color="D9D9D9" w:sz="4" w:space="0"/>
            </w:tcBorders>
            <w:tcMar>
              <w:left w:w="60" w:type="dxa"/>
              <w:right w:w="60" w:type="dxa"/>
            </w:tcMar>
          </w:tcPr>
          <w:p>
            <w:pPr>
              <w:spacing w:before="20" w:after="20"/>
              <w:jc w:val="right"/>
              <w:rPr>
                <w:sz w:val="18"/>
              </w:rPr>
            </w:pPr>
            <w:bookmarkStart w:id="26" w:name="citei-c585"/>
            <w:r>
              <w:rPr>
                <w:sz w:val="18"/>
              </w:rPr>
              <w:t>$3,752M</w:t>
            </w:r>
            <w:bookmarkEnd w:id="26"/>
          </w:p>
        </w:tc>
      </w:tr>
      <w:tr>
        <w:tc>
          <w:tcPr>
            <w:tcW w:w="3000" w:type="dxa"/>
            <w:tcBorders>
              <w:bottom w:val="single" w:color="D9D9D9" w:sz="4" w:space="0"/>
            </w:tcBorders>
            <w:tcMar>
              <w:left w:w="60" w:type="dxa"/>
              <w:right w:w="60" w:type="dxa"/>
            </w:tcMar>
          </w:tcPr>
          <w:p>
            <w:pPr>
              <w:spacing w:before="20" w:after="20"/>
              <w:rPr>
                <w:sz w:val="18"/>
              </w:rPr>
            </w:pPr>
            <w:r>
              <w:rPr>
                <w:sz w:val="18"/>
              </w:rPr>
              <w:t>Gross IRR / MOIC, five years</w:t>
            </w:r>
          </w:p>
        </w:tc>
        <w:tc>
          <w:tcPr>
            <w:tcW w:w="2240" w:type="dxa"/>
            <w:tcBorders>
              <w:bottom w:val="single" w:color="D9D9D9" w:sz="4" w:space="0"/>
            </w:tcBorders>
            <w:shd w:val="clear" w:fill="DCE6F1"/>
            <w:tcMar>
              <w:left w:w="60" w:type="dxa"/>
              <w:right w:w="60" w:type="dxa"/>
            </w:tcMar>
          </w:tcPr>
          <w:p>
            <w:pPr>
              <w:spacing w:before="20" w:after="20"/>
              <w:jc w:val="right"/>
              <w:rPr>
                <w:sz w:val="18"/>
              </w:rPr>
            </w:pPr>
            <w:bookmarkStart w:id="27" w:name="citei-c586"/>
            <w:r>
              <w:rPr>
                <w:sz w:val="18"/>
              </w:rPr>
              <w:t>9.7% / 1.59x</w:t>
            </w:r>
            <w:bookmarkEnd w:id="27"/>
          </w:p>
        </w:tc>
        <w:tc>
          <w:tcPr>
            <w:tcW w:w="2200" w:type="dxa"/>
            <w:tcBorders>
              <w:bottom w:val="single" w:color="D9D9D9" w:sz="4" w:space="0"/>
            </w:tcBorders>
            <w:tcMar>
              <w:left w:w="60" w:type="dxa"/>
              <w:right w:w="60" w:type="dxa"/>
            </w:tcMar>
          </w:tcPr>
          <w:p>
            <w:pPr>
              <w:spacing w:before="20" w:after="20"/>
              <w:jc w:val="right"/>
              <w:rPr>
                <w:sz w:val="18"/>
              </w:rPr>
            </w:pPr>
            <w:bookmarkStart w:id="28" w:name="citei-c587"/>
            <w:r>
              <w:rPr>
                <w:sz w:val="18"/>
              </w:rPr>
              <w:t>10.0% / 1.61x</w:t>
            </w:r>
            <w:bookmarkEnd w:id="28"/>
          </w:p>
        </w:tc>
        <w:tc>
          <w:tcPr>
            <w:tcW w:w="2240" w:type="dxa"/>
            <w:tcBorders>
              <w:bottom w:val="single" w:color="D9D9D9" w:sz="4" w:space="0"/>
            </w:tcBorders>
            <w:tcMar>
              <w:left w:w="60" w:type="dxa"/>
              <w:right w:w="60" w:type="dxa"/>
            </w:tcMar>
          </w:tcPr>
          <w:p>
            <w:pPr>
              <w:spacing w:before="20" w:after="20"/>
              <w:jc w:val="right"/>
              <w:rPr>
                <w:sz w:val="18"/>
              </w:rPr>
            </w:pPr>
            <w:bookmarkStart w:id="29" w:name="citei-c588"/>
            <w:r>
              <w:rPr>
                <w:sz w:val="18"/>
              </w:rPr>
              <w:t>7.9% / 1.46x</w:t>
            </w:r>
            <w:bookmarkEnd w:id="29"/>
          </w:p>
        </w:tc>
      </w:tr>
    </w:tbl>
    <w:p>
      <w:pPr>
        <w:spacing w:after="40"/>
      </w:pPr>
      <w:r>
        <w:t/>
      </w:r>
    </w:p>
    <w:p>
      <w:pPr>
        <w:pStyle w:val="Normal"/>
        <w:spacing w:before="0" w:after="80"/>
        <w:rPr>
          <w:i/>
          <w:color w:val="7F7F7F"/>
          <w:sz w:val="17"/>
        </w:rPr>
      </w:pPr>
      <w:r>
        <w:rPr>
          <w:i/>
          <w:color w:val="7F7F7F"/>
          <w:sz w:val="17"/>
        </w:rPr>
        <w:t>All multiples are computed in the returns case workbook from the cited figures.</w:t>
      </w:r>
    </w:p>
    <w:p>
      <w:pPr>
        <w:pStyle w:val="Normal"/>
        <w:spacing w:before="0" w:after="60"/>
        <w:rPr>
          <w:b/>
        </w:rPr>
      </w:pPr>
      <w:r>
        <w:rPr>
          <w:b/>
        </w:rPr>
        <w:t>Why we support the deal at $4,591M, and not above it:</w:t>
      </w:r>
    </w:p>
    <w:p>
      <w:pPr>
        <w:pStyle w:val="Normal"/>
        <w:spacing w:after="100"/>
        <w:ind w:left="200"/>
      </w:pPr>
      <w:r>
        <w:t/>
      </w:r>
      <w:r>
        <w:rPr>
          <w:b/>
        </w:rPr>
        <w:t xml:space="preserve">Asset-backed downside. </w:t>
      </w:r>
      <w:r>
        <w:t xml:space="preserve">The six operating campuses appraise at </w:t>
      </w:r>
      <w:bookmarkStart w:id="30" w:name="citei-c589"/>
      <w:r>
        <w:t>$4,095M</w:t>
      </w:r>
      <w:bookmarkEnd w:id="30"/>
      <w:r>
        <w:t xml:space="preserve"> as is, and capacity in flight will have cost about </w:t>
      </w:r>
      <w:bookmarkStart w:id="31" w:name="citei-c590"/>
      <w:r>
        <w:t>$874M</w:t>
      </w:r>
      <w:bookmarkEnd w:id="31"/>
      <w:r>
        <w:t xml:space="preserve"> by the close, so our bid sits </w:t>
      </w:r>
      <w:bookmarkStart w:id="32" w:name="citei-c591"/>
      <w:r>
        <w:t>7.6%</w:t>
      </w:r>
      <w:bookmarkEnd w:id="32"/>
      <w:r>
        <w:t xml:space="preserve"> below asset value before any value for the </w:t>
      </w:r>
      <w:bookmarkStart w:id="33" w:name="citei-c592"/>
      <w:r>
        <w:t>~400 MW land bank</w:t>
      </w:r>
      <w:bookmarkEnd w:id="33"/>
      <w:r>
        <w:t>.</w:t>
      </w:r>
    </w:p>
    <w:p>
      <w:pPr>
        <w:pStyle w:val="Normal"/>
        <w:spacing w:after="100"/>
        <w:ind w:left="200"/>
      </w:pPr>
      <w:r>
        <w:t/>
      </w:r>
      <w:r>
        <w:rPr>
          <w:b/>
        </w:rPr>
        <w:t xml:space="preserve">Moderate base-case returns. </w:t>
      </w:r>
      <w:bookmarkStart w:id="34" w:name="citei-c593"/>
      <w:r>
        <w:t>9.7% gross IRR</w:t>
      </w:r>
      <w:bookmarkEnd w:id="34"/>
      <w:r>
        <w:t xml:space="preserve"> and </w:t>
      </w:r>
      <w:bookmarkStart w:id="35" w:name="citei-c594"/>
      <w:r>
        <w:t>1.59x MOIC</w:t>
      </w:r>
      <w:bookmarkEnd w:id="35"/>
      <w:r>
        <w:t xml:space="preserve"> over five years, with exit at 17.7x and no value for the long-range plan; returns peak at </w:t>
      </w:r>
      <w:bookmarkStart w:id="36" w:name="citei-c595"/>
      <w:r>
        <w:t>11.0% on an FY29 exit</w:t>
      </w:r>
      <w:bookmarkEnd w:id="36"/>
      <w:r>
        <w:t xml:space="preserve">. At 18.0x the seller's FY26 budget they fall to </w:t>
      </w:r>
      <w:bookmarkStart w:id="37" w:name="citei-c596"/>
      <w:r>
        <w:t>7.9% and 1.46x</w:t>
      </w:r>
      <w:bookmarkEnd w:id="37"/>
      <w:r>
        <w:t xml:space="preserve">. Each $100M of price costs </w:t>
      </w:r>
      <w:bookmarkStart w:id="38" w:name="citei-c597"/>
      <w:r>
        <w:t>about 0.7 points of IRR</w:t>
      </w:r>
      <w:bookmarkEnd w:id="38"/>
      <w:r>
        <w:t>.</w:t>
      </w:r>
    </w:p>
    <w:p>
      <w:pPr>
        <w:pStyle w:val="Normal"/>
        <w:spacing w:after="100"/>
        <w:ind w:left="200"/>
      </w:pPr>
      <w:r>
        <w:t/>
      </w:r>
      <w:r>
        <w:rPr>
          <w:b/>
        </w:rPr>
        <w:t xml:space="preserve">Upside we do not pay for. </w:t>
      </w:r>
      <w:r>
        <w:t>Executed amendments that support the rent-roll lease terms, documented power cost recovery (</w:t>
      </w:r>
      <w:bookmarkStart w:id="39" w:name="citei-c598"/>
      <w:r>
        <w:t>about $157M</w:t>
      </w:r>
      <w:bookmarkEnd w:id="39"/>
      <w:r>
        <w:t xml:space="preserve"> of value at the reference multiple) and an exit at 18.7x to 19.7x (</w:t>
      </w:r>
      <w:bookmarkStart w:id="40" w:name="citei-c599"/>
      <w:r>
        <w:t>11.0% to 12.3%</w:t>
      </w:r>
      <w:bookmarkEnd w:id="40"/>
      <w:r>
        <w:t xml:space="preserve"> IRR).</w:t>
      </w:r>
    </w:p>
    <w:p>
      <w:pPr>
        <w:pStyle w:val="Normal"/>
        <w:spacing w:before="0" w:after="100"/>
      </w:pPr>
      <w:r>
        <w:t>Approval is conditional on the open items in Section 7, above all the reconciliation of hyperscale lease amendments, counsel clearance of the clean-team-derived figures, and a staple commitment re-sized on our earnings base.</w:t>
      </w:r>
    </w:p>
    <w:p>
      <w:pPr>
        <w:pStyle w:val="Heading2"/>
        <w:keepNext/>
        <w:spacing w:before="120" w:after="60"/>
      </w:pPr>
      <w:r>
        <w:t>Proposed transaction terms</w:t>
      </w:r>
    </w:p>
    <w:tbl>
      <w:tblPr>
        <w:tblW w:w="9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
      <w:tblGrid>
        <w:gridCol w:w="1440"/>
        <w:gridCol w:w="1440"/>
      </w:tblGrid>
      <w:tr>
        <w:trPr>
          <w:tblHeader/>
        </w:trPr>
        <w:tc>
          <w:tcPr>
            <w:tcW w:w="2000" w:type="dxa"/>
            <w:tcBorders>
              <w:bottom w:val="single" w:color="D9D9D9" w:sz="4" w:space="0"/>
            </w:tcBorders>
            <w:shd w:val="clear" w:fill="F2F0EC"/>
            <w:tcMar>
              <w:left w:w="60" w:type="dxa"/>
              <w:right w:w="60" w:type="dxa"/>
            </w:tcMar>
          </w:tcPr>
          <w:p>
            <w:pPr>
              <w:spacing w:before="20" w:after="20"/>
              <w:rPr>
                <w:b/>
                <w:sz w:val="18"/>
              </w:rPr>
            </w:pPr>
            <w:r>
              <w:rPr>
                <w:b/>
                <w:sz w:val="18"/>
              </w:rPr>
              <w:t>Term</w:t>
            </w:r>
          </w:p>
        </w:tc>
        <w:tc>
          <w:tcPr>
            <w:tcW w:w="7840" w:type="dxa"/>
            <w:tcBorders>
              <w:bottom w:val="single" w:color="D9D9D9" w:sz="4" w:space="0"/>
            </w:tcBorders>
            <w:shd w:val="clear" w:fill="F2F0EC"/>
            <w:tcMar>
              <w:left w:w="60" w:type="dxa"/>
              <w:right w:w="60" w:type="dxa"/>
            </w:tcMar>
          </w:tcPr>
          <w:p>
            <w:pPr>
              <w:spacing w:before="20" w:after="20"/>
              <w:rPr>
                <w:b/>
                <w:sz w:val="18"/>
              </w:rPr>
            </w:pPr>
            <w:r>
              <w:rPr>
                <w:b/>
                <w:sz w:val="18"/>
              </w:rPr>
              <w:t>Proposal</w:t>
            </w:r>
          </w:p>
        </w:tc>
      </w:tr>
      <w:tr>
        <w:tc>
          <w:tcPr>
            <w:tcW w:w="2000" w:type="dxa"/>
            <w:tcBorders>
              <w:bottom w:val="single" w:color="D9D9D9" w:sz="4" w:space="0"/>
            </w:tcBorders>
            <w:tcMar>
              <w:left w:w="60" w:type="dxa"/>
              <w:right w:w="60" w:type="dxa"/>
            </w:tcMar>
          </w:tcPr>
          <w:p>
            <w:pPr>
              <w:spacing w:before="20" w:after="20"/>
              <w:rPr>
                <w:b/>
                <w:sz w:val="18"/>
              </w:rPr>
            </w:pPr>
            <w:r>
              <w:rPr>
                <w:b/>
                <w:sz w:val="18"/>
              </w:rPr>
              <w:t>Structure</w:t>
            </w:r>
          </w:p>
        </w:tc>
        <w:tc>
          <w:tcPr>
            <w:tcW w:w="7840" w:type="dxa"/>
            <w:tcBorders>
              <w:bottom w:val="single" w:color="D9D9D9" w:sz="4" w:space="0"/>
            </w:tcBorders>
            <w:tcMar>
              <w:left w:w="60" w:type="dxa"/>
              <w:right w:w="60" w:type="dxa"/>
            </w:tcMar>
          </w:tcPr>
          <w:p>
            <w:pPr>
              <w:spacing w:before="20" w:after="20"/>
              <w:rPr>
                <w:sz w:val="18"/>
              </w:rPr>
            </w:pPr>
            <w:r>
              <w:rPr>
                <w:sz w:val="18"/>
              </w:rPr>
              <w:t xml:space="preserve">Purchase of 100% of the equity interests under an equity purchase agreement, </w:t>
            </w:r>
            <w:bookmarkStart w:id="41" w:name="citei-c600"/>
            <w:r>
              <w:rPr>
                <w:sz w:val="18"/>
              </w:rPr>
              <w:t>cash-free and debt-free, assuming normalized net working capital</w:t>
            </w:r>
            <w:bookmarkEnd w:id="41"/>
            <w:r>
              <w:rPr>
                <w:sz w:val="18"/>
              </w:rPr>
              <w:t>; close assumed 31-Dec-26.</w:t>
            </w:r>
          </w:p>
        </w:tc>
      </w:tr>
      <w:tr>
        <w:tc>
          <w:tcPr>
            <w:tcW w:w="2000" w:type="dxa"/>
            <w:tcBorders>
              <w:bottom w:val="single" w:color="D9D9D9" w:sz="4" w:space="0"/>
            </w:tcBorders>
            <w:tcMar>
              <w:left w:w="60" w:type="dxa"/>
              <w:right w:w="60" w:type="dxa"/>
            </w:tcMar>
          </w:tcPr>
          <w:p>
            <w:pPr>
              <w:spacing w:before="20" w:after="20"/>
              <w:rPr>
                <w:b/>
                <w:sz w:val="18"/>
              </w:rPr>
            </w:pPr>
            <w:r>
              <w:rPr>
                <w:b/>
                <w:sz w:val="18"/>
              </w:rPr>
              <w:t>Price</w:t>
            </w:r>
          </w:p>
        </w:tc>
        <w:tc>
          <w:tcPr>
            <w:tcW w:w="7840" w:type="dxa"/>
            <w:tcBorders>
              <w:bottom w:val="single" w:color="D9D9D9" w:sz="4" w:space="0"/>
            </w:tcBorders>
            <w:tcMar>
              <w:left w:w="60" w:type="dxa"/>
              <w:right w:w="60" w:type="dxa"/>
            </w:tcMar>
          </w:tcPr>
          <w:p>
            <w:pPr>
              <w:spacing w:before="20" w:after="20"/>
              <w:rPr>
                <w:sz w:val="18"/>
              </w:rPr>
            </w:pPr>
            <w:r>
              <w:rPr>
                <w:sz w:val="18"/>
              </w:rPr>
              <w:t xml:space="preserve">$4,591M of enterprise value: the </w:t>
            </w:r>
            <w:bookmarkStart w:id="42" w:name="citei-c601"/>
            <w:r>
              <w:rPr>
                <w:sz w:val="18"/>
              </w:rPr>
              <w:t>$4,225M IOI</w:t>
            </w:r>
            <w:bookmarkEnd w:id="42"/>
            <w:r>
              <w:rPr>
                <w:sz w:val="18"/>
              </w:rPr>
              <w:t xml:space="preserve"> plus a dollar-for-dollar credit for seller spend on capacity in flight after 31-Mar-26 </w:t>
            </w:r>
            <w:bookmarkStart w:id="43" w:name="citei-c602"/>
            <w:r>
              <w:rPr>
                <w:sz w:val="18"/>
              </w:rPr>
              <w:t>($366M on plan)</w:t>
            </w:r>
            <w:bookmarkEnd w:id="43"/>
            <w:r>
              <w:rPr>
                <w:sz w:val="18"/>
              </w:rPr>
              <w:t>, trued up to actual spend at closing.</w:t>
            </w:r>
          </w:p>
        </w:tc>
      </w:tr>
      <w:tr>
        <w:tc>
          <w:tcPr>
            <w:tcW w:w="2000" w:type="dxa"/>
            <w:tcBorders>
              <w:bottom w:val="single" w:color="D9D9D9" w:sz="4" w:space="0"/>
            </w:tcBorders>
            <w:tcMar>
              <w:left w:w="60" w:type="dxa"/>
              <w:right w:w="60" w:type="dxa"/>
            </w:tcMar>
          </w:tcPr>
          <w:p>
            <w:pPr>
              <w:spacing w:before="20" w:after="20"/>
              <w:rPr>
                <w:b/>
                <w:sz w:val="18"/>
              </w:rPr>
            </w:pPr>
            <w:r>
              <w:rPr>
                <w:b/>
                <w:sz w:val="18"/>
              </w:rPr>
              <w:t>Sellers</w:t>
            </w:r>
          </w:p>
        </w:tc>
        <w:tc>
          <w:tcPr>
            <w:tcW w:w="7840" w:type="dxa"/>
            <w:tcBorders>
              <w:bottom w:val="single" w:color="D9D9D9" w:sz="4" w:space="0"/>
            </w:tcBorders>
            <w:tcMar>
              <w:left w:w="60" w:type="dxa"/>
              <w:right w:w="60" w:type="dxa"/>
            </w:tcMar>
          </w:tcPr>
          <w:p>
            <w:pPr>
              <w:spacing w:before="20" w:after="20"/>
              <w:rPr>
                <w:sz w:val="18"/>
              </w:rPr>
            </w:pPr>
            <w:bookmarkStart w:id="44" w:name="citei-c603"/>
            <w:r>
              <w:rPr>
                <w:sz w:val="18"/>
              </w:rPr>
              <w:t>Halcyon Fund IV (62.0%)</w:t>
            </w:r>
            <w:bookmarkEnd w:id="44"/>
            <w:r>
              <w:rPr>
                <w:sz w:val="18"/>
              </w:rPr>
              <w:t>, HIP Co-Invest IV-A (8.0%), the founder and CEO (21.0%) and management Class B units (9.0%).</w:t>
            </w:r>
          </w:p>
        </w:tc>
      </w:tr>
      <w:tr>
        <w:tc>
          <w:tcPr>
            <w:tcW w:w="2000" w:type="dxa"/>
            <w:tcBorders>
              <w:bottom w:val="single" w:color="D9D9D9" w:sz="4" w:space="0"/>
            </w:tcBorders>
            <w:tcMar>
              <w:left w:w="60" w:type="dxa"/>
              <w:right w:w="60" w:type="dxa"/>
            </w:tcMar>
          </w:tcPr>
          <w:p>
            <w:pPr>
              <w:spacing w:before="20" w:after="20"/>
              <w:rPr>
                <w:b/>
                <w:sz w:val="18"/>
              </w:rPr>
            </w:pPr>
            <w:r>
              <w:rPr>
                <w:b/>
                <w:sz w:val="18"/>
              </w:rPr>
              <w:t>Indebtedness</w:t>
            </w:r>
          </w:p>
        </w:tc>
        <w:tc>
          <w:tcPr>
            <w:tcW w:w="7840" w:type="dxa"/>
            <w:tcBorders>
              <w:bottom w:val="single" w:color="D9D9D9" w:sz="4" w:space="0"/>
            </w:tcBorders>
            <w:tcMar>
              <w:left w:w="60" w:type="dxa"/>
              <w:right w:w="60" w:type="dxa"/>
            </w:tcMar>
          </w:tcPr>
          <w:p>
            <w:pPr>
              <w:spacing w:before="20" w:after="20"/>
              <w:rPr>
                <w:sz w:val="18"/>
              </w:rPr>
            </w:pPr>
            <w:r>
              <w:rPr>
                <w:sz w:val="18"/>
              </w:rPr>
              <w:t xml:space="preserve">Net debt and debt-like items of </w:t>
            </w:r>
            <w:bookmarkStart w:id="45" w:name="citei-c604"/>
            <w:r>
              <w:rPr>
                <w:sz w:val="18"/>
              </w:rPr>
              <w:t>$1,584.0M</w:t>
            </w:r>
            <w:bookmarkEnd w:id="45"/>
            <w:r>
              <w:rPr>
                <w:sz w:val="18"/>
              </w:rPr>
              <w:t xml:space="preserve"> at 31-Dec-25 on the buy-side definition, against </w:t>
            </w:r>
            <w:bookmarkStart w:id="46" w:name="citei-c605"/>
            <w:r>
              <w:rPr>
                <w:sz w:val="18"/>
              </w:rPr>
              <w:t>$1,506.9M</w:t>
            </w:r>
            <w:bookmarkEnd w:id="46"/>
            <w:r>
              <w:rPr>
                <w:sz w:val="18"/>
              </w:rPr>
              <w:t xml:space="preserve"> in the sell-side QoE; equity to sellers of </w:t>
            </w:r>
            <w:bookmarkStart w:id="47" w:name="citei-c606"/>
            <w:r>
              <w:rPr>
                <w:sz w:val="18"/>
              </w:rPr>
              <w:t>$3,007M</w:t>
            </w:r>
            <w:bookmarkEnd w:id="47"/>
            <w:r>
              <w:rPr>
                <w:sz w:val="18"/>
              </w:rPr>
              <w:t xml:space="preserve"> on that basis.</w:t>
            </w:r>
          </w:p>
        </w:tc>
      </w:tr>
      <w:tr>
        <w:tc>
          <w:tcPr>
            <w:tcW w:w="2000" w:type="dxa"/>
            <w:tcBorders>
              <w:bottom w:val="single" w:color="D9D9D9" w:sz="4" w:space="0"/>
            </w:tcBorders>
            <w:tcMar>
              <w:left w:w="60" w:type="dxa"/>
              <w:right w:w="60" w:type="dxa"/>
            </w:tcMar>
          </w:tcPr>
          <w:p>
            <w:pPr>
              <w:spacing w:before="20" w:after="20"/>
              <w:rPr>
                <w:b/>
                <w:sz w:val="18"/>
              </w:rPr>
            </w:pPr>
            <w:r>
              <w:rPr>
                <w:b/>
                <w:sz w:val="18"/>
              </w:rPr>
              <w:t>Working capital</w:t>
            </w:r>
          </w:p>
        </w:tc>
        <w:tc>
          <w:tcPr>
            <w:tcW w:w="7840" w:type="dxa"/>
            <w:tcBorders>
              <w:bottom w:val="single" w:color="D9D9D9" w:sz="4" w:space="0"/>
            </w:tcBorders>
            <w:tcMar>
              <w:left w:w="60" w:type="dxa"/>
              <w:right w:w="60" w:type="dxa"/>
            </w:tcMar>
          </w:tcPr>
          <w:p>
            <w:pPr>
              <w:spacing w:before="20" w:after="20"/>
              <w:rPr>
                <w:sz w:val="18"/>
              </w:rPr>
            </w:pPr>
            <w:r>
              <w:rPr>
                <w:sz w:val="18"/>
              </w:rPr>
              <w:t xml:space="preserve">The QoE proposes a peg of </w:t>
            </w:r>
            <w:bookmarkStart w:id="48" w:name="citei-c607"/>
            <w:r>
              <w:rPr>
                <w:sz w:val="18"/>
              </w:rPr>
              <w:t>$(11.8)M</w:t>
            </w:r>
            <w:bookmarkEnd w:id="48"/>
            <w:r>
              <w:rPr>
                <w:sz w:val="18"/>
              </w:rPr>
              <w:t xml:space="preserve"> on a trailing twelve-month average; we accept the method, subject to the definition.</w:t>
            </w:r>
          </w:p>
        </w:tc>
      </w:tr>
      <w:tr>
        <w:tc>
          <w:tcPr>
            <w:tcW w:w="2000" w:type="dxa"/>
            <w:tcBorders>
              <w:bottom w:val="single" w:color="D9D9D9" w:sz="4" w:space="0"/>
            </w:tcBorders>
            <w:tcMar>
              <w:left w:w="60" w:type="dxa"/>
              <w:right w:w="60" w:type="dxa"/>
            </w:tcMar>
          </w:tcPr>
          <w:p>
            <w:pPr>
              <w:spacing w:before="20" w:after="20"/>
              <w:rPr>
                <w:b/>
                <w:sz w:val="18"/>
              </w:rPr>
            </w:pPr>
            <w:r>
              <w:rPr>
                <w:b/>
                <w:sz w:val="18"/>
              </w:rPr>
              <w:t>Financing</w:t>
            </w:r>
          </w:p>
        </w:tc>
        <w:tc>
          <w:tcPr>
            <w:tcW w:w="7840" w:type="dxa"/>
            <w:tcBorders>
              <w:bottom w:val="single" w:color="D9D9D9" w:sz="4" w:space="0"/>
            </w:tcBorders>
            <w:tcMar>
              <w:left w:w="60" w:type="dxa"/>
              <w:right w:w="60" w:type="dxa"/>
            </w:tcMar>
          </w:tcPr>
          <w:p>
            <w:pPr>
              <w:spacing w:before="20" w:after="20"/>
              <w:rPr>
                <w:sz w:val="18"/>
              </w:rPr>
            </w:pPr>
            <w:r>
              <w:rPr>
                <w:sz w:val="18"/>
              </w:rPr>
              <w:t xml:space="preserve">Staple term loan re-sized to </w:t>
            </w:r>
            <w:bookmarkStart w:id="49" w:name="citei-c608"/>
            <w:r>
              <w:rPr>
                <w:sz w:val="18"/>
              </w:rPr>
              <w:t>$1,241.4M</w:t>
            </w:r>
            <w:bookmarkEnd w:id="49"/>
            <w:r>
              <w:rPr>
                <w:sz w:val="18"/>
              </w:rPr>
              <w:t xml:space="preserve"> (6.0x our $206.9M) plus the $250M DDTL, with </w:t>
            </w:r>
            <w:bookmarkStart w:id="50" w:name="citei-c609"/>
            <w:r>
              <w:rPr>
                <w:sz w:val="18"/>
              </w:rPr>
              <w:t>no financing condition</w:t>
            </w:r>
            <w:bookmarkEnd w:id="50"/>
            <w:r>
              <w:rPr>
                <w:sz w:val="18"/>
              </w:rPr>
              <w:t>.</w:t>
            </w:r>
          </w:p>
        </w:tc>
      </w:tr>
      <w:tr>
        <w:tc>
          <w:tcPr>
            <w:tcW w:w="2000" w:type="dxa"/>
            <w:tcBorders>
              <w:bottom w:val="single" w:color="D9D9D9" w:sz="4" w:space="0"/>
            </w:tcBorders>
            <w:tcMar>
              <w:left w:w="60" w:type="dxa"/>
              <w:right w:w="60" w:type="dxa"/>
            </w:tcMar>
          </w:tcPr>
          <w:p>
            <w:pPr>
              <w:spacing w:before="20" w:after="20"/>
              <w:rPr>
                <w:b/>
                <w:sz w:val="18"/>
              </w:rPr>
            </w:pPr>
            <w:r>
              <w:rPr>
                <w:b/>
                <w:sz w:val="18"/>
              </w:rPr>
              <w:t>Management</w:t>
            </w:r>
          </w:p>
        </w:tc>
        <w:tc>
          <w:tcPr>
            <w:tcW w:w="7840" w:type="dxa"/>
            <w:tcBorders>
              <w:bottom w:val="single" w:color="D9D9D9" w:sz="4" w:space="0"/>
            </w:tcBorders>
            <w:tcMar>
              <w:left w:w="60" w:type="dxa"/>
              <w:right w:w="60" w:type="dxa"/>
            </w:tcMar>
          </w:tcPr>
          <w:p>
            <w:pPr>
              <w:spacing w:before="20" w:after="20"/>
              <w:rPr>
                <w:sz w:val="18"/>
              </w:rPr>
            </w:pPr>
            <w:r>
              <w:rPr>
                <w:sz w:val="18"/>
              </w:rPr>
              <w:t xml:space="preserve">Retain the senior team; no discussion of employment or equity terms </w:t>
            </w:r>
            <w:bookmarkStart w:id="51" w:name="citei-c610"/>
            <w:r>
              <w:rPr>
                <w:sz w:val="18"/>
              </w:rPr>
              <w:t>until the sell-side adviser authorizes it in writing</w:t>
            </w:r>
            <w:bookmarkEnd w:id="51"/>
            <w:r>
              <w:rPr>
                <w:sz w:val="18"/>
              </w:rPr>
              <w:t>.</w:t>
            </w:r>
          </w:p>
        </w:tc>
      </w:tr>
      <w:tr>
        <w:tc>
          <w:tcPr>
            <w:tcW w:w="2000" w:type="dxa"/>
            <w:tcBorders>
              <w:bottom w:val="single" w:color="D9D9D9" w:sz="4" w:space="0"/>
            </w:tcBorders>
            <w:tcMar>
              <w:left w:w="60" w:type="dxa"/>
              <w:right w:w="60" w:type="dxa"/>
            </w:tcMar>
          </w:tcPr>
          <w:p>
            <w:pPr>
              <w:spacing w:before="20" w:after="20"/>
              <w:rPr>
                <w:b/>
                <w:sz w:val="18"/>
              </w:rPr>
            </w:pPr>
            <w:r>
              <w:rPr>
                <w:b/>
                <w:sz w:val="18"/>
              </w:rPr>
              <w:t>Other</w:t>
            </w:r>
          </w:p>
        </w:tc>
        <w:tc>
          <w:tcPr>
            <w:tcW w:w="7840" w:type="dxa"/>
            <w:tcBorders>
              <w:bottom w:val="single" w:color="D9D9D9" w:sz="4" w:space="0"/>
            </w:tcBorders>
            <w:tcMar>
              <w:left w:w="60" w:type="dxa"/>
              <w:right w:w="60" w:type="dxa"/>
            </w:tcMar>
          </w:tcPr>
          <w:p>
            <w:pPr>
              <w:spacing w:before="20" w:after="20"/>
              <w:rPr>
                <w:sz w:val="18"/>
              </w:rPr>
            </w:pPr>
            <w:r>
              <w:rPr>
                <w:sz w:val="18"/>
              </w:rPr>
              <w:t xml:space="preserve">Representations and warranties insurance, </w:t>
            </w:r>
            <w:bookmarkStart w:id="52" w:name="citei-c611"/>
            <w:r>
              <w:rPr>
                <w:sz w:val="18"/>
              </w:rPr>
              <w:t>as the process asks bidders to address</w:t>
            </w:r>
            <w:bookmarkEnd w:id="52"/>
            <w:r>
              <w:rPr>
                <w:sz w:val="18"/>
              </w:rPr>
              <w:t xml:space="preserve">; HSR filing; </w:t>
            </w:r>
            <w:bookmarkStart w:id="53" w:name="citei-c612"/>
            <w:r>
              <w:rPr>
                <w:sz w:val="18"/>
              </w:rPr>
              <w:t>RNO I ground lessor consent</w:t>
            </w:r>
            <w:bookmarkEnd w:id="53"/>
            <w:r>
              <w:rPr>
                <w:sz w:val="18"/>
              </w:rPr>
              <w:t>.</w:t>
            </w:r>
          </w:p>
        </w:tc>
      </w:tr>
    </w:tbl>
    <w:p>
      <w:pPr>
        <w:spacing w:after="40"/>
      </w:pPr>
      <w:r>
        <w:t/>
      </w:r>
    </w:p>
    <w:p>
      <w:pPr>
        <w:pStyle w:val="Heading1"/>
        <w:keepNext/>
        <w:spacing w:before="200" w:after="60"/>
      </w:pPr>
      <w:r>
        <w:t>2. Company overview</w:t>
      </w:r>
    </w:p>
    <w:p>
      <w:pPr>
        <w:pStyle w:val="Normal"/>
        <w:spacing w:before="0" w:after="100"/>
      </w:pPr>
      <w:bookmarkStart w:id="54" w:name="citei-c613"/>
      <w:r>
        <w:t>Founded in 2014 and headquartered in Dallas, TX</w:t>
      </w:r>
      <w:bookmarkEnd w:id="54"/>
      <w:r>
        <w:t xml:space="preserve">, Ironvale develops, owns and operates hyperscale and enterprise colocation data centers in six US markets: Northern Virginia, Dallas, Phoenix, Atlanta, Columbus and Reno. The platform has </w:t>
      </w:r>
      <w:bookmarkStart w:id="55" w:name="citei-c614"/>
      <w:r>
        <w:t>220 MW of commissioned critical IT capacity across 11 buildings, 96 MW under construction</w:t>
      </w:r>
      <w:bookmarkEnd w:id="55"/>
      <w:r>
        <w:t xml:space="preserve"> (PHX II, 60 MW; ATL II, 36 MW) and a land bank of about 400 MW. It serves </w:t>
      </w:r>
      <w:bookmarkStart w:id="56" w:name="citei-c615"/>
      <w:r>
        <w:t>143 tenants</w:t>
      </w:r>
      <w:bookmarkEnd w:id="56"/>
      <w:r>
        <w:t xml:space="preserve">: three hyperscale anchors (Tenants A, B and C) provide </w:t>
      </w:r>
      <w:bookmarkStart w:id="57" w:name="citei-c616"/>
      <w:r>
        <w:t>56% of ABR</w:t>
      </w:r>
      <w:bookmarkEnd w:id="57"/>
      <w:r>
        <w:t xml:space="preserve"> and 140 enterprise colocation customers the rest. Halcyon invested </w:t>
      </w:r>
      <w:bookmarkStart w:id="58" w:name="citei-c617"/>
      <w:r>
        <w:t>$480M in 2019 at a $1.05B enterprise value</w:t>
      </w:r>
      <w:bookmarkEnd w:id="58"/>
      <w:r>
        <w:t>.</w:t>
      </w:r>
    </w:p>
    <w:tbl>
      <w:tblPr>
        <w:tblW w:w="9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
      <w:tblGrid>
        <w:gridCol w:w="1440"/>
        <w:gridCol w:w="1440"/>
        <w:gridCol w:w="1440"/>
      </w:tblGrid>
      <w:tr>
        <w:trPr>
          <w:tblHeader/>
        </w:trPr>
        <w:tc>
          <w:tcPr>
            <w:tcW w:w="3800" w:type="dxa"/>
            <w:tcBorders>
              <w:bottom w:val="single" w:color="D9D9D9" w:sz="4" w:space="0"/>
            </w:tcBorders>
            <w:shd w:val="clear" w:fill="F2F0EC"/>
            <w:tcMar>
              <w:left w:w="60" w:type="dxa"/>
              <w:right w:w="60" w:type="dxa"/>
            </w:tcMar>
          </w:tcPr>
          <w:p>
            <w:pPr>
              <w:spacing w:before="20" w:after="20"/>
              <w:rPr>
                <w:b/>
                <w:sz w:val="18"/>
              </w:rPr>
            </w:pPr>
            <w:r>
              <w:rPr>
                <w:b/>
                <w:sz w:val="18"/>
              </w:rPr>
              <w:t>Metric</w:t>
            </w:r>
          </w:p>
        </w:tc>
        <w:tc>
          <w:tcPr>
            <w:tcW w:w="2240" w:type="dxa"/>
            <w:tcBorders>
              <w:bottom w:val="single" w:color="D9D9D9" w:sz="4" w:space="0"/>
            </w:tcBorders>
            <w:shd w:val="clear" w:fill="F2F0EC"/>
            <w:tcMar>
              <w:left w:w="60" w:type="dxa"/>
              <w:right w:w="60" w:type="dxa"/>
            </w:tcMar>
          </w:tcPr>
          <w:p>
            <w:pPr>
              <w:spacing w:before="20" w:after="20"/>
              <w:rPr>
                <w:b/>
                <w:sz w:val="18"/>
              </w:rPr>
            </w:pPr>
            <w:r>
              <w:rPr>
                <w:b/>
                <w:sz w:val="18"/>
              </w:rPr>
              <w:t>Figure</w:t>
            </w:r>
          </w:p>
        </w:tc>
        <w:tc>
          <w:tcPr>
            <w:tcW w:w="3800" w:type="dxa"/>
            <w:tcBorders>
              <w:bottom w:val="single" w:color="D9D9D9" w:sz="4" w:space="0"/>
            </w:tcBorders>
            <w:shd w:val="clear" w:fill="F2F0EC"/>
            <w:tcMar>
              <w:left w:w="60" w:type="dxa"/>
              <w:right w:w="60" w:type="dxa"/>
            </w:tcMar>
          </w:tcPr>
          <w:p>
            <w:pPr>
              <w:spacing w:before="20" w:after="20"/>
              <w:rPr>
                <w:b/>
                <w:sz w:val="18"/>
              </w:rPr>
            </w:pPr>
            <w:r>
              <w:rPr>
                <w:b/>
                <w:sz w:val="18"/>
              </w:rPr>
              <w:t>Source (document and page)</w:t>
            </w:r>
          </w:p>
        </w:tc>
      </w:tr>
      <w:tr>
        <w:tc>
          <w:tcPr>
            <w:tcW w:w="3800" w:type="dxa"/>
            <w:tcBorders>
              <w:bottom w:val="single" w:color="D9D9D9" w:sz="4" w:space="0"/>
            </w:tcBorders>
            <w:tcMar>
              <w:left w:w="60" w:type="dxa"/>
              <w:right w:w="60" w:type="dxa"/>
            </w:tcMar>
          </w:tcPr>
          <w:p>
            <w:pPr>
              <w:spacing w:before="20" w:after="20"/>
              <w:rPr>
                <w:sz w:val="18"/>
              </w:rPr>
            </w:pPr>
            <w:r>
              <w:rPr>
                <w:sz w:val="18"/>
              </w:rPr>
              <w:t>FY25 total revenue</w:t>
            </w:r>
          </w:p>
        </w:tc>
        <w:tc>
          <w:tcPr>
            <w:tcW w:w="2240" w:type="dxa"/>
            <w:tcBorders>
              <w:bottom w:val="single" w:color="D9D9D9" w:sz="4" w:space="0"/>
            </w:tcBorders>
            <w:tcMar>
              <w:left w:w="60" w:type="dxa"/>
              <w:right w:w="60" w:type="dxa"/>
            </w:tcMar>
          </w:tcPr>
          <w:p>
            <w:pPr>
              <w:spacing w:before="20" w:after="20"/>
              <w:rPr>
                <w:sz w:val="18"/>
              </w:rPr>
            </w:pPr>
            <w:bookmarkStart w:id="59" w:name="citei-c618"/>
            <w:r>
              <w:rPr>
                <w:sz w:val="18"/>
              </w:rPr>
              <w:t>$412.0M</w:t>
            </w:r>
            <w:bookmarkEnd w:id="59"/>
            <w:r>
              <w:rPr>
                <w:sz w:val="18"/>
              </w:rPr>
              <w:t xml:space="preserve"> (+24.1%)</w:t>
            </w:r>
          </w:p>
        </w:tc>
        <w:tc>
          <w:tcPr>
            <w:tcW w:w="3800" w:type="dxa"/>
            <w:tcBorders>
              <w:bottom w:val="single" w:color="D9D9D9" w:sz="4" w:space="0"/>
            </w:tcBorders>
            <w:tcMar>
              <w:left w:w="60" w:type="dxa"/>
              <w:right w:w="60" w:type="dxa"/>
            </w:tcMar>
          </w:tcPr>
          <w:p>
            <w:pPr>
              <w:spacing w:before="20" w:after="20"/>
              <w:rPr>
                <w:sz w:val="18"/>
              </w:rPr>
            </w:pPr>
            <w:r>
              <w:rPr>
                <w:sz w:val="18"/>
              </w:rPr>
              <w:t>CIM (11.02) p29; Audited FS FY25 (2.03) p4</w:t>
            </w:r>
          </w:p>
        </w:tc>
      </w:tr>
      <w:tr>
        <w:tc>
          <w:tcPr>
            <w:tcW w:w="3800" w:type="dxa"/>
            <w:tcBorders>
              <w:bottom w:val="single" w:color="D9D9D9" w:sz="4" w:space="0"/>
            </w:tcBorders>
            <w:tcMar>
              <w:left w:w="60" w:type="dxa"/>
              <w:right w:w="60" w:type="dxa"/>
            </w:tcMar>
          </w:tcPr>
          <w:p>
            <w:pPr>
              <w:spacing w:before="20" w:after="20"/>
              <w:rPr>
                <w:sz w:val="18"/>
              </w:rPr>
            </w:pPr>
            <w:r>
              <w:rPr>
                <w:sz w:val="18"/>
              </w:rPr>
              <w:t>FY25 NOI</w:t>
            </w:r>
          </w:p>
        </w:tc>
        <w:tc>
          <w:tcPr>
            <w:tcW w:w="2240" w:type="dxa"/>
            <w:tcBorders>
              <w:bottom w:val="single" w:color="D9D9D9" w:sz="4" w:space="0"/>
            </w:tcBorders>
            <w:tcMar>
              <w:left w:w="60" w:type="dxa"/>
              <w:right w:w="60" w:type="dxa"/>
            </w:tcMar>
          </w:tcPr>
          <w:p>
            <w:pPr>
              <w:spacing w:before="20" w:after="20"/>
              <w:rPr>
                <w:sz w:val="18"/>
              </w:rPr>
            </w:pPr>
            <w:bookmarkStart w:id="60" w:name="citei-c619"/>
            <w:r>
              <w:rPr>
                <w:sz w:val="18"/>
              </w:rPr>
              <w:t>$246.6M</w:t>
            </w:r>
            <w:bookmarkEnd w:id="60"/>
          </w:p>
        </w:tc>
        <w:tc>
          <w:tcPr>
            <w:tcW w:w="3800" w:type="dxa"/>
            <w:tcBorders>
              <w:bottom w:val="single" w:color="D9D9D9" w:sz="4" w:space="0"/>
            </w:tcBorders>
            <w:tcMar>
              <w:left w:w="60" w:type="dxa"/>
              <w:right w:w="60" w:type="dxa"/>
            </w:tcMar>
          </w:tcPr>
          <w:p>
            <w:pPr>
              <w:spacing w:before="20" w:after="20"/>
              <w:rPr>
                <w:sz w:val="18"/>
              </w:rPr>
            </w:pPr>
            <w:r>
              <w:rPr>
                <w:sz w:val="18"/>
              </w:rPr>
              <w:t>CIM (11.02) p29</w:t>
            </w:r>
          </w:p>
        </w:tc>
      </w:tr>
      <w:tr>
        <w:tc>
          <w:tcPr>
            <w:tcW w:w="3800" w:type="dxa"/>
            <w:tcBorders>
              <w:bottom w:val="single" w:color="D9D9D9" w:sz="4" w:space="0"/>
            </w:tcBorders>
            <w:tcMar>
              <w:left w:w="60" w:type="dxa"/>
              <w:right w:w="60" w:type="dxa"/>
            </w:tcMar>
          </w:tcPr>
          <w:p>
            <w:pPr>
              <w:spacing w:before="20" w:after="20"/>
              <w:rPr>
                <w:sz w:val="18"/>
              </w:rPr>
            </w:pPr>
            <w:r>
              <w:rPr>
                <w:sz w:val="18"/>
              </w:rPr>
              <w:t>FY25 adjusted EBITDA: seller / buyer</w:t>
            </w:r>
          </w:p>
        </w:tc>
        <w:tc>
          <w:tcPr>
            <w:tcW w:w="2240" w:type="dxa"/>
            <w:tcBorders>
              <w:bottom w:val="single" w:color="D9D9D9" w:sz="4" w:space="0"/>
            </w:tcBorders>
            <w:tcMar>
              <w:left w:w="60" w:type="dxa"/>
              <w:right w:w="60" w:type="dxa"/>
            </w:tcMar>
          </w:tcPr>
          <w:p>
            <w:pPr>
              <w:spacing w:before="20" w:after="20"/>
              <w:rPr>
                <w:sz w:val="18"/>
              </w:rPr>
            </w:pPr>
            <w:bookmarkStart w:id="61" w:name="citei-c620"/>
            <w:r>
              <w:rPr>
                <w:sz w:val="18"/>
              </w:rPr>
              <w:t>$224.0M</w:t>
            </w:r>
            <w:bookmarkEnd w:id="61"/>
            <w:r>
              <w:rPr>
                <w:sz w:val="18"/>
              </w:rPr>
              <w:t xml:space="preserve"> / </w:t>
            </w:r>
            <w:bookmarkStart w:id="62" w:name="citei-c621"/>
            <w:r>
              <w:rPr>
                <w:sz w:val="18"/>
              </w:rPr>
              <w:t>$206.9M</w:t>
            </w:r>
            <w:bookmarkEnd w:id="62"/>
          </w:p>
        </w:tc>
        <w:tc>
          <w:tcPr>
            <w:tcW w:w="3800" w:type="dxa"/>
            <w:tcBorders>
              <w:bottom w:val="single" w:color="D9D9D9" w:sz="4" w:space="0"/>
            </w:tcBorders>
            <w:tcMar>
              <w:left w:w="60" w:type="dxa"/>
              <w:right w:w="60" w:type="dxa"/>
            </w:tcMar>
          </w:tcPr>
          <w:p>
            <w:pPr>
              <w:spacing w:before="20" w:after="20"/>
              <w:rPr>
                <w:sz w:val="18"/>
              </w:rPr>
            </w:pPr>
            <w:r>
              <w:rPr>
                <w:sz w:val="18"/>
              </w:rPr>
              <w:t>CIM (11.02) p29; CIM tie-out, from Audited FS FY25 (2.03) p4, p14</w:t>
            </w:r>
          </w:p>
        </w:tc>
      </w:tr>
      <w:tr>
        <w:tc>
          <w:tcPr>
            <w:tcW w:w="3800" w:type="dxa"/>
            <w:tcBorders>
              <w:bottom w:val="single" w:color="D9D9D9" w:sz="4" w:space="0"/>
            </w:tcBorders>
            <w:tcMar>
              <w:left w:w="60" w:type="dxa"/>
              <w:right w:w="60" w:type="dxa"/>
            </w:tcMar>
          </w:tcPr>
          <w:p>
            <w:pPr>
              <w:spacing w:before="20" w:after="20"/>
              <w:rPr>
                <w:sz w:val="18"/>
              </w:rPr>
            </w:pPr>
            <w:r>
              <w:rPr>
                <w:sz w:val="18"/>
              </w:rPr>
              <w:t>Buyer adjusted EBITDA: LTM Mar-26 / FY25 cash basis</w:t>
            </w:r>
          </w:p>
        </w:tc>
        <w:tc>
          <w:tcPr>
            <w:tcW w:w="2240" w:type="dxa"/>
            <w:tcBorders>
              <w:bottom w:val="single" w:color="D9D9D9" w:sz="4" w:space="0"/>
            </w:tcBorders>
            <w:tcMar>
              <w:left w:w="60" w:type="dxa"/>
              <w:right w:w="60" w:type="dxa"/>
            </w:tcMar>
          </w:tcPr>
          <w:p>
            <w:pPr>
              <w:spacing w:before="20" w:after="20"/>
              <w:rPr>
                <w:sz w:val="18"/>
              </w:rPr>
            </w:pPr>
            <w:bookmarkStart w:id="63" w:name="citei-c622"/>
            <w:r>
              <w:rPr>
                <w:sz w:val="18"/>
              </w:rPr>
              <w:t>$217.9M</w:t>
            </w:r>
            <w:bookmarkEnd w:id="63"/>
            <w:r>
              <w:rPr>
                <w:sz w:val="18"/>
              </w:rPr>
              <w:t xml:space="preserve"> / </w:t>
            </w:r>
            <w:bookmarkStart w:id="64" w:name="citei-c623"/>
            <w:r>
              <w:rPr>
                <w:sz w:val="18"/>
              </w:rPr>
              <w:t>$198.5M</w:t>
            </w:r>
            <w:bookmarkEnd w:id="64"/>
          </w:p>
        </w:tc>
        <w:tc>
          <w:tcPr>
            <w:tcW w:w="3800" w:type="dxa"/>
            <w:tcBorders>
              <w:bottom w:val="single" w:color="D9D9D9" w:sz="4" w:space="0"/>
            </w:tcBorders>
            <w:tcMar>
              <w:left w:w="60" w:type="dxa"/>
              <w:right w:w="60" w:type="dxa"/>
            </w:tcMar>
          </w:tcPr>
          <w:p>
            <w:pPr>
              <w:spacing w:before="20" w:after="20"/>
              <w:rPr>
                <w:sz w:val="18"/>
              </w:rPr>
            </w:pPr>
            <w:r>
              <w:rPr>
                <w:sz w:val="18"/>
              </w:rPr>
              <w:t>CIM tie-out; Sell-side QoE (11.04) p14</w:t>
            </w:r>
          </w:p>
        </w:tc>
      </w:tr>
      <w:tr>
        <w:tc>
          <w:tcPr>
            <w:tcW w:w="3800" w:type="dxa"/>
            <w:tcBorders>
              <w:bottom w:val="single" w:color="D9D9D9" w:sz="4" w:space="0"/>
            </w:tcBorders>
            <w:tcMar>
              <w:left w:w="60" w:type="dxa"/>
              <w:right w:w="60" w:type="dxa"/>
            </w:tcMar>
          </w:tcPr>
          <w:p>
            <w:pPr>
              <w:spacing w:before="20" w:after="20"/>
              <w:rPr>
                <w:sz w:val="18"/>
              </w:rPr>
            </w:pPr>
            <w:r>
              <w:rPr>
                <w:sz w:val="18"/>
              </w:rPr>
              <w:t>FY26 budget adjusted EBITDA, seller definitions</w:t>
            </w:r>
          </w:p>
        </w:tc>
        <w:tc>
          <w:tcPr>
            <w:tcW w:w="2240" w:type="dxa"/>
            <w:tcBorders>
              <w:bottom w:val="single" w:color="D9D9D9" w:sz="4" w:space="0"/>
            </w:tcBorders>
            <w:tcMar>
              <w:left w:w="60" w:type="dxa"/>
              <w:right w:w="60" w:type="dxa"/>
            </w:tcMar>
          </w:tcPr>
          <w:p>
            <w:pPr>
              <w:spacing w:before="20" w:after="20"/>
              <w:rPr>
                <w:sz w:val="18"/>
              </w:rPr>
            </w:pPr>
            <w:bookmarkStart w:id="65" w:name="citei-c624"/>
            <w:r>
              <w:rPr>
                <w:sz w:val="18"/>
              </w:rPr>
              <w:t>$272.0M</w:t>
            </w:r>
            <w:bookmarkEnd w:id="65"/>
          </w:p>
        </w:tc>
        <w:tc>
          <w:tcPr>
            <w:tcW w:w="3800" w:type="dxa"/>
            <w:tcBorders>
              <w:bottom w:val="single" w:color="D9D9D9" w:sz="4" w:space="0"/>
            </w:tcBorders>
            <w:tcMar>
              <w:left w:w="60" w:type="dxa"/>
              <w:right w:w="60" w:type="dxa"/>
            </w:tcMar>
          </w:tcPr>
          <w:p>
            <w:pPr>
              <w:spacing w:before="20" w:after="20"/>
              <w:rPr>
                <w:sz w:val="18"/>
              </w:rPr>
            </w:pPr>
            <w:r>
              <w:rPr>
                <w:sz w:val="18"/>
              </w:rPr>
              <w:t>FY26 budget and LRP (2.06); Board deck (10.01) p5</w:t>
            </w:r>
          </w:p>
        </w:tc>
      </w:tr>
      <w:tr>
        <w:tc>
          <w:tcPr>
            <w:tcW w:w="3800" w:type="dxa"/>
            <w:tcBorders>
              <w:bottom w:val="single" w:color="D9D9D9" w:sz="4" w:space="0"/>
            </w:tcBorders>
            <w:tcMar>
              <w:left w:w="60" w:type="dxa"/>
              <w:right w:w="60" w:type="dxa"/>
            </w:tcMar>
          </w:tcPr>
          <w:p>
            <w:pPr>
              <w:spacing w:before="20" w:after="20"/>
              <w:rPr>
                <w:sz w:val="18"/>
              </w:rPr>
            </w:pPr>
            <w:r>
              <w:rPr>
                <w:sz w:val="18"/>
              </w:rPr>
              <w:t>Annualized base rent (ABR)</w:t>
            </w:r>
          </w:p>
        </w:tc>
        <w:tc>
          <w:tcPr>
            <w:tcW w:w="2240" w:type="dxa"/>
            <w:tcBorders>
              <w:bottom w:val="single" w:color="D9D9D9" w:sz="4" w:space="0"/>
            </w:tcBorders>
            <w:tcMar>
              <w:left w:w="60" w:type="dxa"/>
              <w:right w:w="60" w:type="dxa"/>
            </w:tcMar>
          </w:tcPr>
          <w:p>
            <w:pPr>
              <w:spacing w:before="20" w:after="20"/>
              <w:rPr>
                <w:sz w:val="18"/>
              </w:rPr>
            </w:pPr>
            <w:bookmarkStart w:id="66" w:name="citei-c625"/>
            <w:r>
              <w:rPr>
                <w:sz w:val="18"/>
              </w:rPr>
              <w:t>$305.0M</w:t>
            </w:r>
            <w:bookmarkEnd w:id="66"/>
          </w:p>
        </w:tc>
        <w:tc>
          <w:tcPr>
            <w:tcW w:w="3800" w:type="dxa"/>
            <w:tcBorders>
              <w:bottom w:val="single" w:color="D9D9D9" w:sz="4" w:space="0"/>
            </w:tcBorders>
            <w:tcMar>
              <w:left w:w="60" w:type="dxa"/>
              <w:right w:w="60" w:type="dxa"/>
            </w:tcMar>
          </w:tcPr>
          <w:p>
            <w:pPr>
              <w:spacing w:before="20" w:after="20"/>
              <w:rPr>
                <w:sz w:val="18"/>
              </w:rPr>
            </w:pPr>
            <w:r>
              <w:rPr>
                <w:sz w:val="18"/>
              </w:rPr>
              <w:t>CIM (11.02) p5</w:t>
            </w:r>
          </w:p>
        </w:tc>
      </w:tr>
      <w:tr>
        <w:tc>
          <w:tcPr>
            <w:tcW w:w="3800" w:type="dxa"/>
            <w:tcBorders>
              <w:bottom w:val="single" w:color="D9D9D9" w:sz="4" w:space="0"/>
            </w:tcBorders>
            <w:tcMar>
              <w:left w:w="60" w:type="dxa"/>
              <w:right w:w="60" w:type="dxa"/>
            </w:tcMar>
          </w:tcPr>
          <w:p>
            <w:pPr>
              <w:spacing w:before="20" w:after="20"/>
              <w:rPr>
                <w:sz w:val="18"/>
              </w:rPr>
            </w:pPr>
            <w:r>
              <w:rPr>
                <w:sz w:val="18"/>
              </w:rPr>
              <w:t>Leased MW and occupancy at 31-Mar-26</w:t>
            </w:r>
          </w:p>
        </w:tc>
        <w:tc>
          <w:tcPr>
            <w:tcW w:w="2240" w:type="dxa"/>
            <w:tcBorders>
              <w:bottom w:val="single" w:color="D9D9D9" w:sz="4" w:space="0"/>
            </w:tcBorders>
            <w:tcMar>
              <w:left w:w="60" w:type="dxa"/>
              <w:right w:w="60" w:type="dxa"/>
            </w:tcMar>
          </w:tcPr>
          <w:p>
            <w:pPr>
              <w:spacing w:before="20" w:after="20"/>
              <w:rPr>
                <w:sz w:val="18"/>
              </w:rPr>
            </w:pPr>
            <w:bookmarkStart w:id="67" w:name="citei-c626"/>
            <w:r>
              <w:rPr>
                <w:sz w:val="18"/>
              </w:rPr>
              <w:t>202.2 MW / 91.9%</w:t>
            </w:r>
            <w:bookmarkEnd w:id="67"/>
          </w:p>
        </w:tc>
        <w:tc>
          <w:tcPr>
            <w:tcW w:w="3800" w:type="dxa"/>
            <w:tcBorders>
              <w:bottom w:val="single" w:color="D9D9D9" w:sz="4" w:space="0"/>
            </w:tcBorders>
            <w:tcMar>
              <w:left w:w="60" w:type="dxa"/>
              <w:right w:w="60" w:type="dxa"/>
            </w:tcMar>
          </w:tcPr>
          <w:p>
            <w:pPr>
              <w:spacing w:before="20" w:after="20"/>
              <w:rPr>
                <w:sz w:val="18"/>
              </w:rPr>
            </w:pPr>
            <w:r>
              <w:rPr>
                <w:sz w:val="18"/>
              </w:rPr>
              <w:t>CIM (11.02) p6</w:t>
            </w:r>
          </w:p>
        </w:tc>
      </w:tr>
      <w:tr>
        <w:tc>
          <w:tcPr>
            <w:tcW w:w="3800" w:type="dxa"/>
            <w:tcBorders>
              <w:bottom w:val="single" w:color="D9D9D9" w:sz="4" w:space="0"/>
            </w:tcBorders>
            <w:tcMar>
              <w:left w:w="60" w:type="dxa"/>
              <w:right w:w="60" w:type="dxa"/>
            </w:tcMar>
          </w:tcPr>
          <w:p>
            <w:pPr>
              <w:spacing w:before="20" w:after="20"/>
              <w:rPr>
                <w:sz w:val="18"/>
              </w:rPr>
            </w:pPr>
            <w:r>
              <w:rPr>
                <w:sz w:val="18"/>
              </w:rPr>
              <w:t>Capacity in flight: budget / spent at 31-Mar-26</w:t>
            </w:r>
          </w:p>
        </w:tc>
        <w:tc>
          <w:tcPr>
            <w:tcW w:w="2240" w:type="dxa"/>
            <w:tcBorders>
              <w:bottom w:val="single" w:color="D9D9D9" w:sz="4" w:space="0"/>
            </w:tcBorders>
            <w:tcMar>
              <w:left w:w="60" w:type="dxa"/>
              <w:right w:w="60" w:type="dxa"/>
            </w:tcMar>
          </w:tcPr>
          <w:p>
            <w:pPr>
              <w:spacing w:before="20" w:after="20"/>
              <w:rPr>
                <w:sz w:val="18"/>
              </w:rPr>
            </w:pPr>
            <w:bookmarkStart w:id="68" w:name="citei-c627"/>
            <w:r>
              <w:rPr>
                <w:sz w:val="18"/>
              </w:rPr>
              <w:t>$988M / $508M</w:t>
            </w:r>
            <w:bookmarkEnd w:id="68"/>
          </w:p>
        </w:tc>
        <w:tc>
          <w:tcPr>
            <w:tcW w:w="3800" w:type="dxa"/>
            <w:tcBorders>
              <w:bottom w:val="single" w:color="D9D9D9" w:sz="4" w:space="0"/>
            </w:tcBorders>
            <w:tcMar>
              <w:left w:w="60" w:type="dxa"/>
              <w:right w:w="60" w:type="dxa"/>
            </w:tcMar>
          </w:tcPr>
          <w:p>
            <w:pPr>
              <w:spacing w:before="20" w:after="20"/>
              <w:rPr>
                <w:sz w:val="18"/>
              </w:rPr>
            </w:pPr>
            <w:r>
              <w:rPr>
                <w:sz w:val="18"/>
              </w:rPr>
              <w:t>CIM (11.02) p18</w:t>
            </w:r>
          </w:p>
        </w:tc>
      </w:tr>
      <w:tr>
        <w:tc>
          <w:tcPr>
            <w:tcW w:w="3800" w:type="dxa"/>
            <w:tcBorders>
              <w:bottom w:val="single" w:color="D9D9D9" w:sz="4" w:space="0"/>
            </w:tcBorders>
            <w:tcMar>
              <w:left w:w="60" w:type="dxa"/>
              <w:right w:w="60" w:type="dxa"/>
            </w:tcMar>
          </w:tcPr>
          <w:p>
            <w:pPr>
              <w:spacing w:before="20" w:after="20"/>
              <w:rPr>
                <w:sz w:val="18"/>
              </w:rPr>
            </w:pPr>
            <w:r>
              <w:rPr>
                <w:sz w:val="18"/>
              </w:rPr>
              <w:t>Net debt and debt-like items, 31-Dec-25: buyer / seller</w:t>
            </w:r>
          </w:p>
        </w:tc>
        <w:tc>
          <w:tcPr>
            <w:tcW w:w="2240" w:type="dxa"/>
            <w:tcBorders>
              <w:bottom w:val="single" w:color="D9D9D9" w:sz="4" w:space="0"/>
            </w:tcBorders>
            <w:tcMar>
              <w:left w:w="60" w:type="dxa"/>
              <w:right w:w="60" w:type="dxa"/>
            </w:tcMar>
          </w:tcPr>
          <w:p>
            <w:pPr>
              <w:spacing w:before="20" w:after="20"/>
              <w:rPr>
                <w:sz w:val="18"/>
              </w:rPr>
            </w:pPr>
            <w:bookmarkStart w:id="69" w:name="citei-c628"/>
            <w:r>
              <w:rPr>
                <w:sz w:val="18"/>
              </w:rPr>
              <w:t>$1,584.0M</w:t>
            </w:r>
            <w:bookmarkEnd w:id="69"/>
            <w:r>
              <w:rPr>
                <w:sz w:val="18"/>
              </w:rPr>
              <w:t xml:space="preserve"> / </w:t>
            </w:r>
            <w:bookmarkStart w:id="70" w:name="citei-c629"/>
            <w:r>
              <w:rPr>
                <w:sz w:val="18"/>
              </w:rPr>
              <w:t>$1,506.9M</w:t>
            </w:r>
            <w:bookmarkEnd w:id="70"/>
          </w:p>
        </w:tc>
        <w:tc>
          <w:tcPr>
            <w:tcW w:w="3800" w:type="dxa"/>
            <w:tcBorders>
              <w:bottom w:val="single" w:color="D9D9D9" w:sz="4" w:space="0"/>
            </w:tcBorders>
            <w:tcMar>
              <w:left w:w="60" w:type="dxa"/>
              <w:right w:w="60" w:type="dxa"/>
            </w:tcMar>
          </w:tcPr>
          <w:p>
            <w:pPr>
              <w:spacing w:before="20" w:after="20"/>
              <w:rPr>
                <w:sz w:val="18"/>
              </w:rPr>
            </w:pPr>
            <w:r>
              <w:rPr>
                <w:sz w:val="18"/>
              </w:rPr>
              <w:t>Buy-side FDD net debt; Sell-side QoE (11.04) p16</w:t>
            </w:r>
          </w:p>
        </w:tc>
      </w:tr>
      <w:tr>
        <w:tc>
          <w:tcPr>
            <w:tcW w:w="3800" w:type="dxa"/>
            <w:tcBorders>
              <w:bottom w:val="single" w:color="D9D9D9" w:sz="4" w:space="0"/>
            </w:tcBorders>
            <w:tcMar>
              <w:left w:w="60" w:type="dxa"/>
              <w:right w:w="60" w:type="dxa"/>
            </w:tcMar>
          </w:tcPr>
          <w:p>
            <w:pPr>
              <w:spacing w:before="20" w:after="20"/>
              <w:rPr>
                <w:sz w:val="18"/>
              </w:rPr>
            </w:pPr>
            <w:r>
              <w:rPr>
                <w:sz w:val="18"/>
              </w:rPr>
              <w:t>Fleet uptime, FY25</w:t>
            </w:r>
          </w:p>
        </w:tc>
        <w:tc>
          <w:tcPr>
            <w:tcW w:w="2240" w:type="dxa"/>
            <w:tcBorders>
              <w:bottom w:val="single" w:color="D9D9D9" w:sz="4" w:space="0"/>
            </w:tcBorders>
            <w:tcMar>
              <w:left w:w="60" w:type="dxa"/>
              <w:right w:w="60" w:type="dxa"/>
            </w:tcMar>
          </w:tcPr>
          <w:p>
            <w:pPr>
              <w:spacing w:before="20" w:after="20"/>
              <w:rPr>
                <w:sz w:val="18"/>
              </w:rPr>
            </w:pPr>
            <w:bookmarkStart w:id="71" w:name="citei-c630"/>
            <w:r>
              <w:rPr>
                <w:sz w:val="18"/>
              </w:rPr>
              <w:t>99.9994%</w:t>
            </w:r>
            <w:bookmarkEnd w:id="71"/>
          </w:p>
        </w:tc>
        <w:tc>
          <w:tcPr>
            <w:tcW w:w="3800" w:type="dxa"/>
            <w:tcBorders>
              <w:bottom w:val="single" w:color="D9D9D9" w:sz="4" w:space="0"/>
            </w:tcBorders>
            <w:tcMar>
              <w:left w:w="60" w:type="dxa"/>
              <w:right w:w="60" w:type="dxa"/>
            </w:tcMar>
          </w:tcPr>
          <w:p>
            <w:pPr>
              <w:spacing w:before="20" w:after="20"/>
              <w:rPr>
                <w:sz w:val="18"/>
              </w:rPr>
            </w:pPr>
            <w:r>
              <w:rPr>
                <w:sz w:val="18"/>
              </w:rPr>
              <w:t>CIM (11.02) p17</w:t>
            </w:r>
          </w:p>
        </w:tc>
      </w:tr>
    </w:tbl>
    <w:p>
      <w:pPr>
        <w:spacing w:after="40"/>
      </w:pPr>
      <w:r>
        <w:t/>
      </w:r>
    </w:p>
    <w:p>
      <w:pPr>
        <w:pStyle w:val="Heading2"/>
        <w:keepNext/>
        <w:spacing w:before="120" w:after="60"/>
      </w:pPr>
      <w:r>
        <w:t>Operating portfolio at 31-Mar-26 (CIM 11.02 p6)</w:t>
      </w:r>
    </w:p>
    <w:tbl>
      <w:tblPr>
        <w:tblW w:w="9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
      <w:tblGrid>
        <w:gridCol w:w="1440"/>
        <w:gridCol w:w="1440"/>
        <w:gridCol w:w="1440"/>
        <w:gridCol w:w="1440"/>
        <w:gridCol w:w="1440"/>
        <w:gridCol w:w="1440"/>
        <w:gridCol w:w="1440"/>
        <w:gridCol w:w="1440"/>
      </w:tblGrid>
      <w:tr>
        <w:trPr>
          <w:tblHeader/>
        </w:trPr>
        <w:tc>
          <w:tcPr>
            <w:tcW w:w="1840" w:type="dxa"/>
            <w:tcBorders>
              <w:bottom w:val="single" w:color="D9D9D9" w:sz="4" w:space="0"/>
            </w:tcBorders>
            <w:shd w:val="clear" w:fill="F2F0EC"/>
            <w:tcMar>
              <w:left w:w="60" w:type="dxa"/>
              <w:right w:w="60" w:type="dxa"/>
            </w:tcMar>
          </w:tcPr>
          <w:p>
            <w:pPr>
              <w:spacing w:before="20" w:after="20"/>
              <w:rPr>
                <w:b/>
                <w:sz w:val="18"/>
              </w:rPr>
            </w:pPr>
            <w:r>
              <w:rPr>
                <w:b/>
                <w:sz w:val="18"/>
              </w:rPr>
              <w:t>Campus</w:t>
            </w:r>
          </w:p>
        </w:tc>
        <w:tc>
          <w:tcPr>
            <w:tcW w:w="1840" w:type="dxa"/>
            <w:tcBorders>
              <w:bottom w:val="single" w:color="D9D9D9" w:sz="4" w:space="0"/>
            </w:tcBorders>
            <w:shd w:val="clear" w:fill="F2F0EC"/>
            <w:tcMar>
              <w:left w:w="60" w:type="dxa"/>
              <w:right w:w="60" w:type="dxa"/>
            </w:tcMar>
          </w:tcPr>
          <w:p>
            <w:pPr>
              <w:spacing w:before="20" w:after="20"/>
              <w:rPr>
                <w:b/>
                <w:sz w:val="18"/>
              </w:rPr>
            </w:pPr>
            <w:r>
              <w:rPr>
                <w:b/>
                <w:sz w:val="18"/>
              </w:rPr>
              <w:t>Market</w:t>
            </w:r>
          </w:p>
        </w:tc>
        <w:tc>
          <w:tcPr>
            <w:tcW w:w="920" w:type="dxa"/>
            <w:tcBorders>
              <w:bottom w:val="single" w:color="D9D9D9" w:sz="4" w:space="0"/>
            </w:tcBorders>
            <w:shd w:val="clear" w:fill="F2F0EC"/>
            <w:tcMar>
              <w:left w:w="60" w:type="dxa"/>
              <w:right w:w="60" w:type="dxa"/>
            </w:tcMar>
          </w:tcPr>
          <w:p>
            <w:pPr>
              <w:spacing w:before="20" w:after="20"/>
              <w:jc w:val="right"/>
              <w:rPr>
                <w:b/>
                <w:sz w:val="18"/>
              </w:rPr>
            </w:pPr>
            <w:r>
              <w:rPr>
                <w:b/>
                <w:sz w:val="18"/>
              </w:rPr>
              <w:t>First COD</w:t>
            </w:r>
          </w:p>
        </w:tc>
        <w:tc>
          <w:tcPr>
            <w:tcW w:w="800" w:type="dxa"/>
            <w:tcBorders>
              <w:bottom w:val="single" w:color="D9D9D9" w:sz="4" w:space="0"/>
            </w:tcBorders>
            <w:shd w:val="clear" w:fill="F2F0EC"/>
            <w:tcMar>
              <w:left w:w="60" w:type="dxa"/>
              <w:right w:w="60" w:type="dxa"/>
            </w:tcMar>
          </w:tcPr>
          <w:p>
            <w:pPr>
              <w:spacing w:before="20" w:after="20"/>
              <w:jc w:val="right"/>
              <w:rPr>
                <w:b/>
                <w:sz w:val="18"/>
              </w:rPr>
            </w:pPr>
            <w:r>
              <w:rPr>
                <w:b/>
                <w:sz w:val="18"/>
              </w:rPr>
              <w:t>MW</w:t>
            </w:r>
          </w:p>
        </w:tc>
        <w:tc>
          <w:tcPr>
            <w:tcW w:w="1080" w:type="dxa"/>
            <w:tcBorders>
              <w:bottom w:val="single" w:color="D9D9D9" w:sz="4" w:space="0"/>
            </w:tcBorders>
            <w:shd w:val="clear" w:fill="F2F0EC"/>
            <w:tcMar>
              <w:left w:w="60" w:type="dxa"/>
              <w:right w:w="60" w:type="dxa"/>
            </w:tcMar>
          </w:tcPr>
          <w:p>
            <w:pPr>
              <w:spacing w:before="20" w:after="20"/>
              <w:jc w:val="right"/>
              <w:rPr>
                <w:b/>
                <w:sz w:val="18"/>
              </w:rPr>
            </w:pPr>
            <w:r>
              <w:rPr>
                <w:b/>
                <w:sz w:val="18"/>
              </w:rPr>
              <w:t>Leased MW</w:t>
            </w:r>
          </w:p>
        </w:tc>
        <w:tc>
          <w:tcPr>
            <w:tcW w:w="1120" w:type="dxa"/>
            <w:tcBorders>
              <w:bottom w:val="single" w:color="D9D9D9" w:sz="4" w:space="0"/>
            </w:tcBorders>
            <w:shd w:val="clear" w:fill="F2F0EC"/>
            <w:tcMar>
              <w:left w:w="60" w:type="dxa"/>
              <w:right w:w="60" w:type="dxa"/>
            </w:tcMar>
          </w:tcPr>
          <w:p>
            <w:pPr>
              <w:spacing w:before="20" w:after="20"/>
              <w:jc w:val="right"/>
              <w:rPr>
                <w:b/>
                <w:sz w:val="18"/>
              </w:rPr>
            </w:pPr>
            <w:r>
              <w:rPr>
                <w:b/>
                <w:sz w:val="18"/>
              </w:rPr>
              <w:t>Occupancy</w:t>
            </w:r>
          </w:p>
        </w:tc>
        <w:tc>
          <w:tcPr>
            <w:tcW w:w="1120" w:type="dxa"/>
            <w:tcBorders>
              <w:bottom w:val="single" w:color="D9D9D9" w:sz="4" w:space="0"/>
            </w:tcBorders>
            <w:shd w:val="clear" w:fill="F2F0EC"/>
            <w:tcMar>
              <w:left w:w="60" w:type="dxa"/>
              <w:right w:w="60" w:type="dxa"/>
            </w:tcMar>
          </w:tcPr>
          <w:p>
            <w:pPr>
              <w:spacing w:before="20" w:after="20"/>
              <w:jc w:val="right"/>
              <w:rPr>
                <w:b/>
                <w:sz w:val="18"/>
              </w:rPr>
            </w:pPr>
            <w:r>
              <w:rPr>
                <w:b/>
                <w:sz w:val="18"/>
              </w:rPr>
              <w:t>FY25 ABR ($M)</w:t>
            </w:r>
          </w:p>
        </w:tc>
        <w:tc>
          <w:tcPr>
            <w:tcW w:w="1120" w:type="dxa"/>
            <w:tcBorders>
              <w:bottom w:val="single" w:color="D9D9D9" w:sz="4" w:space="0"/>
            </w:tcBorders>
            <w:shd w:val="clear" w:fill="F2F0EC"/>
            <w:tcMar>
              <w:left w:w="60" w:type="dxa"/>
              <w:right w:w="60" w:type="dxa"/>
            </w:tcMar>
          </w:tcPr>
          <w:p>
            <w:pPr>
              <w:spacing w:before="20" w:after="20"/>
              <w:jc w:val="right"/>
              <w:rPr>
                <w:b/>
                <w:sz w:val="18"/>
              </w:rPr>
            </w:pPr>
            <w:r>
              <w:rPr>
                <w:b/>
                <w:sz w:val="18"/>
              </w:rPr>
              <w:t>FY25 NOI ($M)</w:t>
            </w:r>
          </w:p>
        </w:tc>
      </w:tr>
      <w:tr>
        <w:tc>
          <w:tcPr>
            <w:tcW w:w="1840" w:type="dxa"/>
            <w:tcBorders>
              <w:bottom w:val="single" w:color="D9D9D9" w:sz="4" w:space="0"/>
            </w:tcBorders>
            <w:tcMar>
              <w:left w:w="60" w:type="dxa"/>
              <w:right w:w="60" w:type="dxa"/>
            </w:tcMar>
          </w:tcPr>
          <w:p>
            <w:pPr>
              <w:spacing w:before="20" w:after="20"/>
              <w:rPr>
                <w:sz w:val="18"/>
              </w:rPr>
            </w:pPr>
            <w:r>
              <w:rPr>
                <w:sz w:val="18"/>
              </w:rPr>
              <w:t>NOVA I</w:t>
            </w:r>
          </w:p>
        </w:tc>
        <w:tc>
          <w:tcPr>
            <w:tcW w:w="1840" w:type="dxa"/>
            <w:tcBorders>
              <w:bottom w:val="single" w:color="D9D9D9" w:sz="4" w:space="0"/>
            </w:tcBorders>
            <w:tcMar>
              <w:left w:w="60" w:type="dxa"/>
              <w:right w:w="60" w:type="dxa"/>
            </w:tcMar>
          </w:tcPr>
          <w:p>
            <w:pPr>
              <w:spacing w:before="20" w:after="20"/>
              <w:rPr>
                <w:sz w:val="18"/>
              </w:rPr>
            </w:pPr>
            <w:r>
              <w:rPr>
                <w:sz w:val="18"/>
              </w:rPr>
              <w:t>Sterling, VA</w:t>
            </w:r>
          </w:p>
        </w:tc>
        <w:tc>
          <w:tcPr>
            <w:tcW w:w="920" w:type="dxa"/>
            <w:tcBorders>
              <w:bottom w:val="single" w:color="D9D9D9" w:sz="4" w:space="0"/>
            </w:tcBorders>
            <w:tcMar>
              <w:left w:w="60" w:type="dxa"/>
              <w:right w:w="60" w:type="dxa"/>
            </w:tcMar>
          </w:tcPr>
          <w:p>
            <w:pPr>
              <w:spacing w:before="20" w:after="20"/>
              <w:jc w:val="right"/>
              <w:rPr>
                <w:sz w:val="18"/>
              </w:rPr>
            </w:pPr>
            <w:r>
              <w:rPr>
                <w:sz w:val="18"/>
              </w:rPr>
              <w:t>2016</w:t>
            </w:r>
          </w:p>
        </w:tc>
        <w:tc>
          <w:tcPr>
            <w:tcW w:w="800" w:type="dxa"/>
            <w:tcBorders>
              <w:bottom w:val="single" w:color="D9D9D9" w:sz="4" w:space="0"/>
            </w:tcBorders>
            <w:tcMar>
              <w:left w:w="60" w:type="dxa"/>
              <w:right w:w="60" w:type="dxa"/>
            </w:tcMar>
          </w:tcPr>
          <w:p>
            <w:pPr>
              <w:spacing w:before="20" w:after="20"/>
              <w:jc w:val="right"/>
              <w:rPr>
                <w:sz w:val="18"/>
              </w:rPr>
            </w:pPr>
            <w:r>
              <w:rPr>
                <w:sz w:val="18"/>
              </w:rPr>
              <w:t>64</w:t>
            </w:r>
          </w:p>
        </w:tc>
        <w:tc>
          <w:tcPr>
            <w:tcW w:w="1080" w:type="dxa"/>
            <w:tcBorders>
              <w:bottom w:val="single" w:color="D9D9D9" w:sz="4" w:space="0"/>
            </w:tcBorders>
            <w:tcMar>
              <w:left w:w="60" w:type="dxa"/>
              <w:right w:w="60" w:type="dxa"/>
            </w:tcMar>
          </w:tcPr>
          <w:p>
            <w:pPr>
              <w:spacing w:before="20" w:after="20"/>
              <w:jc w:val="right"/>
              <w:rPr>
                <w:sz w:val="18"/>
              </w:rPr>
            </w:pPr>
            <w:r>
              <w:rPr>
                <w:sz w:val="18"/>
              </w:rPr>
              <w:t>62.1</w:t>
            </w:r>
          </w:p>
        </w:tc>
        <w:tc>
          <w:tcPr>
            <w:tcW w:w="1120" w:type="dxa"/>
            <w:tcBorders>
              <w:bottom w:val="single" w:color="D9D9D9" w:sz="4" w:space="0"/>
            </w:tcBorders>
            <w:tcMar>
              <w:left w:w="60" w:type="dxa"/>
              <w:right w:w="60" w:type="dxa"/>
            </w:tcMar>
          </w:tcPr>
          <w:p>
            <w:pPr>
              <w:spacing w:before="20" w:after="20"/>
              <w:jc w:val="right"/>
              <w:rPr>
                <w:sz w:val="18"/>
              </w:rPr>
            </w:pPr>
            <w:r>
              <w:rPr>
                <w:sz w:val="18"/>
              </w:rPr>
              <w:t>97.0%</w:t>
            </w:r>
          </w:p>
        </w:tc>
        <w:tc>
          <w:tcPr>
            <w:tcW w:w="1120" w:type="dxa"/>
            <w:tcBorders>
              <w:bottom w:val="single" w:color="D9D9D9" w:sz="4" w:space="0"/>
            </w:tcBorders>
            <w:tcMar>
              <w:left w:w="60" w:type="dxa"/>
              <w:right w:w="60" w:type="dxa"/>
            </w:tcMar>
          </w:tcPr>
          <w:p>
            <w:pPr>
              <w:spacing w:before="20" w:after="20"/>
              <w:jc w:val="right"/>
              <w:rPr>
                <w:sz w:val="18"/>
              </w:rPr>
            </w:pPr>
            <w:bookmarkStart w:id="72" w:name="citei-c631"/>
            <w:r>
              <w:rPr>
                <w:sz w:val="18"/>
              </w:rPr>
              <w:t>92.4</w:t>
            </w:r>
            <w:bookmarkEnd w:id="72"/>
          </w:p>
        </w:tc>
        <w:tc>
          <w:tcPr>
            <w:tcW w:w="1120" w:type="dxa"/>
            <w:tcBorders>
              <w:bottom w:val="single" w:color="D9D9D9" w:sz="4" w:space="0"/>
            </w:tcBorders>
            <w:tcMar>
              <w:left w:w="60" w:type="dxa"/>
              <w:right w:w="60" w:type="dxa"/>
            </w:tcMar>
          </w:tcPr>
          <w:p>
            <w:pPr>
              <w:spacing w:before="20" w:after="20"/>
              <w:jc w:val="right"/>
              <w:rPr>
                <w:sz w:val="18"/>
              </w:rPr>
            </w:pPr>
            <w:r>
              <w:rPr>
                <w:sz w:val="18"/>
              </w:rPr>
              <w:t>74.8</w:t>
            </w:r>
          </w:p>
        </w:tc>
      </w:tr>
      <w:tr>
        <w:tc>
          <w:tcPr>
            <w:tcW w:w="1840" w:type="dxa"/>
            <w:tcBorders>
              <w:bottom w:val="single" w:color="D9D9D9" w:sz="4" w:space="0"/>
            </w:tcBorders>
            <w:tcMar>
              <w:left w:w="60" w:type="dxa"/>
              <w:right w:w="60" w:type="dxa"/>
            </w:tcMar>
          </w:tcPr>
          <w:p>
            <w:pPr>
              <w:spacing w:before="20" w:after="20"/>
              <w:rPr>
                <w:sz w:val="18"/>
              </w:rPr>
            </w:pPr>
            <w:r>
              <w:rPr>
                <w:sz w:val="18"/>
              </w:rPr>
              <w:t>DFW I</w:t>
            </w:r>
          </w:p>
        </w:tc>
        <w:tc>
          <w:tcPr>
            <w:tcW w:w="1840" w:type="dxa"/>
            <w:tcBorders>
              <w:bottom w:val="single" w:color="D9D9D9" w:sz="4" w:space="0"/>
            </w:tcBorders>
            <w:tcMar>
              <w:left w:w="60" w:type="dxa"/>
              <w:right w:w="60" w:type="dxa"/>
            </w:tcMar>
          </w:tcPr>
          <w:p>
            <w:pPr>
              <w:spacing w:before="20" w:after="20"/>
              <w:rPr>
                <w:sz w:val="18"/>
              </w:rPr>
            </w:pPr>
            <w:r>
              <w:rPr>
                <w:sz w:val="18"/>
              </w:rPr>
              <w:t>Garland, TX</w:t>
            </w:r>
          </w:p>
        </w:tc>
        <w:tc>
          <w:tcPr>
            <w:tcW w:w="920" w:type="dxa"/>
            <w:tcBorders>
              <w:bottom w:val="single" w:color="D9D9D9" w:sz="4" w:space="0"/>
            </w:tcBorders>
            <w:tcMar>
              <w:left w:w="60" w:type="dxa"/>
              <w:right w:w="60" w:type="dxa"/>
            </w:tcMar>
          </w:tcPr>
          <w:p>
            <w:pPr>
              <w:spacing w:before="20" w:after="20"/>
              <w:jc w:val="right"/>
              <w:rPr>
                <w:sz w:val="18"/>
              </w:rPr>
            </w:pPr>
            <w:r>
              <w:rPr>
                <w:sz w:val="18"/>
              </w:rPr>
              <w:t>2014</w:t>
            </w:r>
          </w:p>
        </w:tc>
        <w:tc>
          <w:tcPr>
            <w:tcW w:w="800" w:type="dxa"/>
            <w:tcBorders>
              <w:bottom w:val="single" w:color="D9D9D9" w:sz="4" w:space="0"/>
            </w:tcBorders>
            <w:tcMar>
              <w:left w:w="60" w:type="dxa"/>
              <w:right w:w="60" w:type="dxa"/>
            </w:tcMar>
          </w:tcPr>
          <w:p>
            <w:pPr>
              <w:spacing w:before="20" w:after="20"/>
              <w:jc w:val="right"/>
              <w:rPr>
                <w:sz w:val="18"/>
              </w:rPr>
            </w:pPr>
            <w:r>
              <w:rPr>
                <w:sz w:val="18"/>
              </w:rPr>
              <w:t>36</w:t>
            </w:r>
          </w:p>
        </w:tc>
        <w:tc>
          <w:tcPr>
            <w:tcW w:w="1080" w:type="dxa"/>
            <w:tcBorders>
              <w:bottom w:val="single" w:color="D9D9D9" w:sz="4" w:space="0"/>
            </w:tcBorders>
            <w:tcMar>
              <w:left w:w="60" w:type="dxa"/>
              <w:right w:w="60" w:type="dxa"/>
            </w:tcMar>
          </w:tcPr>
          <w:p>
            <w:pPr>
              <w:spacing w:before="20" w:after="20"/>
              <w:jc w:val="right"/>
              <w:rPr>
                <w:sz w:val="18"/>
              </w:rPr>
            </w:pPr>
            <w:r>
              <w:rPr>
                <w:sz w:val="18"/>
              </w:rPr>
              <w:t>33.8</w:t>
            </w:r>
          </w:p>
        </w:tc>
        <w:tc>
          <w:tcPr>
            <w:tcW w:w="1120" w:type="dxa"/>
            <w:tcBorders>
              <w:bottom w:val="single" w:color="D9D9D9" w:sz="4" w:space="0"/>
            </w:tcBorders>
            <w:tcMar>
              <w:left w:w="60" w:type="dxa"/>
              <w:right w:w="60" w:type="dxa"/>
            </w:tcMar>
          </w:tcPr>
          <w:p>
            <w:pPr>
              <w:spacing w:before="20" w:after="20"/>
              <w:jc w:val="right"/>
              <w:rPr>
                <w:sz w:val="18"/>
              </w:rPr>
            </w:pPr>
            <w:r>
              <w:rPr>
                <w:sz w:val="18"/>
              </w:rPr>
              <w:t>93.9%</w:t>
            </w:r>
          </w:p>
        </w:tc>
        <w:tc>
          <w:tcPr>
            <w:tcW w:w="1120" w:type="dxa"/>
            <w:tcBorders>
              <w:bottom w:val="single" w:color="D9D9D9" w:sz="4" w:space="0"/>
            </w:tcBorders>
            <w:tcMar>
              <w:left w:w="60" w:type="dxa"/>
              <w:right w:w="60" w:type="dxa"/>
            </w:tcMar>
          </w:tcPr>
          <w:p>
            <w:pPr>
              <w:spacing w:before="20" w:after="20"/>
              <w:jc w:val="right"/>
              <w:rPr>
                <w:sz w:val="18"/>
              </w:rPr>
            </w:pPr>
            <w:bookmarkStart w:id="73" w:name="citei-c632"/>
            <w:r>
              <w:rPr>
                <w:sz w:val="18"/>
              </w:rPr>
              <w:t>50.1</w:t>
            </w:r>
            <w:bookmarkEnd w:id="73"/>
          </w:p>
        </w:tc>
        <w:tc>
          <w:tcPr>
            <w:tcW w:w="1120" w:type="dxa"/>
            <w:tcBorders>
              <w:bottom w:val="single" w:color="D9D9D9" w:sz="4" w:space="0"/>
            </w:tcBorders>
            <w:tcMar>
              <w:left w:w="60" w:type="dxa"/>
              <w:right w:w="60" w:type="dxa"/>
            </w:tcMar>
          </w:tcPr>
          <w:p>
            <w:pPr>
              <w:spacing w:before="20" w:after="20"/>
              <w:jc w:val="right"/>
              <w:rPr>
                <w:sz w:val="18"/>
              </w:rPr>
            </w:pPr>
            <w:r>
              <w:rPr>
                <w:sz w:val="18"/>
              </w:rPr>
              <w:t>39.2</w:t>
            </w:r>
          </w:p>
        </w:tc>
      </w:tr>
      <w:tr>
        <w:tc>
          <w:tcPr>
            <w:tcW w:w="1840" w:type="dxa"/>
            <w:tcBorders>
              <w:bottom w:val="single" w:color="D9D9D9" w:sz="4" w:space="0"/>
            </w:tcBorders>
            <w:tcMar>
              <w:left w:w="60" w:type="dxa"/>
              <w:right w:w="60" w:type="dxa"/>
            </w:tcMar>
          </w:tcPr>
          <w:p>
            <w:pPr>
              <w:spacing w:before="20" w:after="20"/>
              <w:rPr>
                <w:sz w:val="18"/>
              </w:rPr>
            </w:pPr>
            <w:r>
              <w:rPr>
                <w:sz w:val="18"/>
              </w:rPr>
              <w:t>PHX I</w:t>
            </w:r>
          </w:p>
        </w:tc>
        <w:tc>
          <w:tcPr>
            <w:tcW w:w="1840" w:type="dxa"/>
            <w:tcBorders>
              <w:bottom w:val="single" w:color="D9D9D9" w:sz="4" w:space="0"/>
            </w:tcBorders>
            <w:tcMar>
              <w:left w:w="60" w:type="dxa"/>
              <w:right w:w="60" w:type="dxa"/>
            </w:tcMar>
          </w:tcPr>
          <w:p>
            <w:pPr>
              <w:spacing w:before="20" w:after="20"/>
              <w:rPr>
                <w:sz w:val="18"/>
              </w:rPr>
            </w:pPr>
            <w:r>
              <w:rPr>
                <w:sz w:val="18"/>
              </w:rPr>
              <w:t>Mesa, AZ</w:t>
            </w:r>
          </w:p>
        </w:tc>
        <w:tc>
          <w:tcPr>
            <w:tcW w:w="920" w:type="dxa"/>
            <w:tcBorders>
              <w:bottom w:val="single" w:color="D9D9D9" w:sz="4" w:space="0"/>
            </w:tcBorders>
            <w:tcMar>
              <w:left w:w="60" w:type="dxa"/>
              <w:right w:w="60" w:type="dxa"/>
            </w:tcMar>
          </w:tcPr>
          <w:p>
            <w:pPr>
              <w:spacing w:before="20" w:after="20"/>
              <w:jc w:val="right"/>
              <w:rPr>
                <w:sz w:val="18"/>
              </w:rPr>
            </w:pPr>
            <w:r>
              <w:rPr>
                <w:sz w:val="18"/>
              </w:rPr>
              <w:t>2019</w:t>
            </w:r>
          </w:p>
        </w:tc>
        <w:tc>
          <w:tcPr>
            <w:tcW w:w="800" w:type="dxa"/>
            <w:tcBorders>
              <w:bottom w:val="single" w:color="D9D9D9" w:sz="4" w:space="0"/>
            </w:tcBorders>
            <w:tcMar>
              <w:left w:w="60" w:type="dxa"/>
              <w:right w:w="60" w:type="dxa"/>
            </w:tcMar>
          </w:tcPr>
          <w:p>
            <w:pPr>
              <w:spacing w:before="20" w:after="20"/>
              <w:jc w:val="right"/>
              <w:rPr>
                <w:sz w:val="18"/>
              </w:rPr>
            </w:pPr>
            <w:r>
              <w:rPr>
                <w:sz w:val="18"/>
              </w:rPr>
              <w:t>48</w:t>
            </w:r>
          </w:p>
        </w:tc>
        <w:tc>
          <w:tcPr>
            <w:tcW w:w="1080" w:type="dxa"/>
            <w:tcBorders>
              <w:bottom w:val="single" w:color="D9D9D9" w:sz="4" w:space="0"/>
            </w:tcBorders>
            <w:tcMar>
              <w:left w:w="60" w:type="dxa"/>
              <w:right w:w="60" w:type="dxa"/>
            </w:tcMar>
          </w:tcPr>
          <w:p>
            <w:pPr>
              <w:spacing w:before="20" w:after="20"/>
              <w:jc w:val="right"/>
              <w:rPr>
                <w:sz w:val="18"/>
              </w:rPr>
            </w:pPr>
            <w:r>
              <w:rPr>
                <w:sz w:val="18"/>
              </w:rPr>
              <w:t>45.2</w:t>
            </w:r>
          </w:p>
        </w:tc>
        <w:tc>
          <w:tcPr>
            <w:tcW w:w="1120" w:type="dxa"/>
            <w:tcBorders>
              <w:bottom w:val="single" w:color="D9D9D9" w:sz="4" w:space="0"/>
            </w:tcBorders>
            <w:tcMar>
              <w:left w:w="60" w:type="dxa"/>
              <w:right w:w="60" w:type="dxa"/>
            </w:tcMar>
          </w:tcPr>
          <w:p>
            <w:pPr>
              <w:spacing w:before="20" w:after="20"/>
              <w:jc w:val="right"/>
              <w:rPr>
                <w:sz w:val="18"/>
              </w:rPr>
            </w:pPr>
            <w:r>
              <w:rPr>
                <w:sz w:val="18"/>
              </w:rPr>
              <w:t>94.2%</w:t>
            </w:r>
          </w:p>
        </w:tc>
        <w:tc>
          <w:tcPr>
            <w:tcW w:w="1120" w:type="dxa"/>
            <w:tcBorders>
              <w:bottom w:val="single" w:color="D9D9D9" w:sz="4" w:space="0"/>
            </w:tcBorders>
            <w:tcMar>
              <w:left w:w="60" w:type="dxa"/>
              <w:right w:w="60" w:type="dxa"/>
            </w:tcMar>
          </w:tcPr>
          <w:p>
            <w:pPr>
              <w:spacing w:before="20" w:after="20"/>
              <w:jc w:val="right"/>
              <w:rPr>
                <w:sz w:val="18"/>
              </w:rPr>
            </w:pPr>
            <w:bookmarkStart w:id="74" w:name="citei-c633"/>
            <w:r>
              <w:rPr>
                <w:sz w:val="18"/>
              </w:rPr>
              <w:t>66.9</w:t>
            </w:r>
            <w:bookmarkEnd w:id="74"/>
          </w:p>
        </w:tc>
        <w:tc>
          <w:tcPr>
            <w:tcW w:w="1120" w:type="dxa"/>
            <w:tcBorders>
              <w:bottom w:val="single" w:color="D9D9D9" w:sz="4" w:space="0"/>
            </w:tcBorders>
            <w:tcMar>
              <w:left w:w="60" w:type="dxa"/>
              <w:right w:w="60" w:type="dxa"/>
            </w:tcMar>
          </w:tcPr>
          <w:p>
            <w:pPr>
              <w:spacing w:before="20" w:after="20"/>
              <w:jc w:val="right"/>
              <w:rPr>
                <w:sz w:val="18"/>
              </w:rPr>
            </w:pPr>
            <w:r>
              <w:rPr>
                <w:sz w:val="18"/>
              </w:rPr>
              <w:t>55.0</w:t>
            </w:r>
          </w:p>
        </w:tc>
      </w:tr>
      <w:tr>
        <w:tc>
          <w:tcPr>
            <w:tcW w:w="1840" w:type="dxa"/>
            <w:tcBorders>
              <w:bottom w:val="single" w:color="D9D9D9" w:sz="4" w:space="0"/>
            </w:tcBorders>
            <w:tcMar>
              <w:left w:w="60" w:type="dxa"/>
              <w:right w:w="60" w:type="dxa"/>
            </w:tcMar>
          </w:tcPr>
          <w:p>
            <w:pPr>
              <w:spacing w:before="20" w:after="20"/>
              <w:rPr>
                <w:sz w:val="18"/>
              </w:rPr>
            </w:pPr>
            <w:r>
              <w:rPr>
                <w:sz w:val="18"/>
              </w:rPr>
              <w:t>ATL I</w:t>
            </w:r>
          </w:p>
        </w:tc>
        <w:tc>
          <w:tcPr>
            <w:tcW w:w="1840" w:type="dxa"/>
            <w:tcBorders>
              <w:bottom w:val="single" w:color="D9D9D9" w:sz="4" w:space="0"/>
            </w:tcBorders>
            <w:tcMar>
              <w:left w:w="60" w:type="dxa"/>
              <w:right w:w="60" w:type="dxa"/>
            </w:tcMar>
          </w:tcPr>
          <w:p>
            <w:pPr>
              <w:spacing w:before="20" w:after="20"/>
              <w:rPr>
                <w:sz w:val="18"/>
              </w:rPr>
            </w:pPr>
            <w:r>
              <w:rPr>
                <w:sz w:val="18"/>
              </w:rPr>
              <w:t>Lithia Springs, GA</w:t>
            </w:r>
          </w:p>
        </w:tc>
        <w:tc>
          <w:tcPr>
            <w:tcW w:w="920" w:type="dxa"/>
            <w:tcBorders>
              <w:bottom w:val="single" w:color="D9D9D9" w:sz="4" w:space="0"/>
            </w:tcBorders>
            <w:tcMar>
              <w:left w:w="60" w:type="dxa"/>
              <w:right w:w="60" w:type="dxa"/>
            </w:tcMar>
          </w:tcPr>
          <w:p>
            <w:pPr>
              <w:spacing w:before="20" w:after="20"/>
              <w:jc w:val="right"/>
              <w:rPr>
                <w:sz w:val="18"/>
              </w:rPr>
            </w:pPr>
            <w:r>
              <w:rPr>
                <w:sz w:val="18"/>
              </w:rPr>
              <w:t>2018</w:t>
            </w:r>
          </w:p>
        </w:tc>
        <w:tc>
          <w:tcPr>
            <w:tcW w:w="800" w:type="dxa"/>
            <w:tcBorders>
              <w:bottom w:val="single" w:color="D9D9D9" w:sz="4" w:space="0"/>
            </w:tcBorders>
            <w:tcMar>
              <w:left w:w="60" w:type="dxa"/>
              <w:right w:w="60" w:type="dxa"/>
            </w:tcMar>
          </w:tcPr>
          <w:p>
            <w:pPr>
              <w:spacing w:before="20" w:after="20"/>
              <w:jc w:val="right"/>
              <w:rPr>
                <w:sz w:val="18"/>
              </w:rPr>
            </w:pPr>
            <w:r>
              <w:rPr>
                <w:sz w:val="18"/>
              </w:rPr>
              <w:t>30</w:t>
            </w:r>
          </w:p>
        </w:tc>
        <w:tc>
          <w:tcPr>
            <w:tcW w:w="1080" w:type="dxa"/>
            <w:tcBorders>
              <w:bottom w:val="single" w:color="D9D9D9" w:sz="4" w:space="0"/>
            </w:tcBorders>
            <w:tcMar>
              <w:left w:w="60" w:type="dxa"/>
              <w:right w:w="60" w:type="dxa"/>
            </w:tcMar>
          </w:tcPr>
          <w:p>
            <w:pPr>
              <w:spacing w:before="20" w:after="20"/>
              <w:jc w:val="right"/>
              <w:rPr>
                <w:sz w:val="18"/>
              </w:rPr>
            </w:pPr>
            <w:r>
              <w:rPr>
                <w:sz w:val="18"/>
              </w:rPr>
              <w:t>26.4</w:t>
            </w:r>
          </w:p>
        </w:tc>
        <w:tc>
          <w:tcPr>
            <w:tcW w:w="1120" w:type="dxa"/>
            <w:tcBorders>
              <w:bottom w:val="single" w:color="D9D9D9" w:sz="4" w:space="0"/>
            </w:tcBorders>
            <w:tcMar>
              <w:left w:w="60" w:type="dxa"/>
              <w:right w:w="60" w:type="dxa"/>
            </w:tcMar>
          </w:tcPr>
          <w:p>
            <w:pPr>
              <w:spacing w:before="20" w:after="20"/>
              <w:jc w:val="right"/>
              <w:rPr>
                <w:sz w:val="18"/>
              </w:rPr>
            </w:pPr>
            <w:r>
              <w:rPr>
                <w:sz w:val="18"/>
              </w:rPr>
              <w:t>88.0%</w:t>
            </w:r>
          </w:p>
        </w:tc>
        <w:tc>
          <w:tcPr>
            <w:tcW w:w="1120" w:type="dxa"/>
            <w:tcBorders>
              <w:bottom w:val="single" w:color="D9D9D9" w:sz="4" w:space="0"/>
            </w:tcBorders>
            <w:tcMar>
              <w:left w:w="60" w:type="dxa"/>
              <w:right w:w="60" w:type="dxa"/>
            </w:tcMar>
          </w:tcPr>
          <w:p>
            <w:pPr>
              <w:spacing w:before="20" w:after="20"/>
              <w:jc w:val="right"/>
              <w:rPr>
                <w:sz w:val="18"/>
              </w:rPr>
            </w:pPr>
            <w:bookmarkStart w:id="75" w:name="citei-c634"/>
            <w:r>
              <w:rPr>
                <w:sz w:val="18"/>
              </w:rPr>
              <w:t>41.0</w:t>
            </w:r>
            <w:bookmarkEnd w:id="75"/>
          </w:p>
        </w:tc>
        <w:tc>
          <w:tcPr>
            <w:tcW w:w="1120" w:type="dxa"/>
            <w:tcBorders>
              <w:bottom w:val="single" w:color="D9D9D9" w:sz="4" w:space="0"/>
            </w:tcBorders>
            <w:tcMar>
              <w:left w:w="60" w:type="dxa"/>
              <w:right w:w="60" w:type="dxa"/>
            </w:tcMar>
          </w:tcPr>
          <w:p>
            <w:pPr>
              <w:spacing w:before="20" w:after="20"/>
              <w:jc w:val="right"/>
              <w:rPr>
                <w:sz w:val="18"/>
              </w:rPr>
            </w:pPr>
            <w:r>
              <w:rPr>
                <w:sz w:val="18"/>
              </w:rPr>
              <w:t>32.1</w:t>
            </w:r>
          </w:p>
        </w:tc>
      </w:tr>
      <w:tr>
        <w:tc>
          <w:tcPr>
            <w:tcW w:w="1840" w:type="dxa"/>
            <w:tcBorders>
              <w:bottom w:val="single" w:color="D9D9D9" w:sz="4" w:space="0"/>
            </w:tcBorders>
            <w:tcMar>
              <w:left w:w="60" w:type="dxa"/>
              <w:right w:w="60" w:type="dxa"/>
            </w:tcMar>
          </w:tcPr>
          <w:p>
            <w:pPr>
              <w:spacing w:before="20" w:after="20"/>
              <w:rPr>
                <w:sz w:val="18"/>
              </w:rPr>
            </w:pPr>
            <w:r>
              <w:rPr>
                <w:sz w:val="18"/>
              </w:rPr>
              <w:t>CMH I</w:t>
            </w:r>
          </w:p>
        </w:tc>
        <w:tc>
          <w:tcPr>
            <w:tcW w:w="1840" w:type="dxa"/>
            <w:tcBorders>
              <w:bottom w:val="single" w:color="D9D9D9" w:sz="4" w:space="0"/>
            </w:tcBorders>
            <w:tcMar>
              <w:left w:w="60" w:type="dxa"/>
              <w:right w:w="60" w:type="dxa"/>
            </w:tcMar>
          </w:tcPr>
          <w:p>
            <w:pPr>
              <w:spacing w:before="20" w:after="20"/>
              <w:rPr>
                <w:sz w:val="18"/>
              </w:rPr>
            </w:pPr>
            <w:r>
              <w:rPr>
                <w:sz w:val="18"/>
              </w:rPr>
              <w:t>New Albany, OH</w:t>
            </w:r>
          </w:p>
        </w:tc>
        <w:tc>
          <w:tcPr>
            <w:tcW w:w="920" w:type="dxa"/>
            <w:tcBorders>
              <w:bottom w:val="single" w:color="D9D9D9" w:sz="4" w:space="0"/>
            </w:tcBorders>
            <w:tcMar>
              <w:left w:w="60" w:type="dxa"/>
              <w:right w:w="60" w:type="dxa"/>
            </w:tcMar>
          </w:tcPr>
          <w:p>
            <w:pPr>
              <w:spacing w:before="20" w:after="20"/>
              <w:jc w:val="right"/>
              <w:rPr>
                <w:sz w:val="18"/>
              </w:rPr>
            </w:pPr>
            <w:r>
              <w:rPr>
                <w:sz w:val="18"/>
              </w:rPr>
              <w:t>2021</w:t>
            </w:r>
          </w:p>
        </w:tc>
        <w:tc>
          <w:tcPr>
            <w:tcW w:w="800" w:type="dxa"/>
            <w:tcBorders>
              <w:bottom w:val="single" w:color="D9D9D9" w:sz="4" w:space="0"/>
            </w:tcBorders>
            <w:tcMar>
              <w:left w:w="60" w:type="dxa"/>
              <w:right w:w="60" w:type="dxa"/>
            </w:tcMar>
          </w:tcPr>
          <w:p>
            <w:pPr>
              <w:spacing w:before="20" w:after="20"/>
              <w:jc w:val="right"/>
              <w:rPr>
                <w:sz w:val="18"/>
              </w:rPr>
            </w:pPr>
            <w:r>
              <w:rPr>
                <w:sz w:val="18"/>
              </w:rPr>
              <w:t>30</w:t>
            </w:r>
          </w:p>
        </w:tc>
        <w:tc>
          <w:tcPr>
            <w:tcW w:w="1080" w:type="dxa"/>
            <w:tcBorders>
              <w:bottom w:val="single" w:color="D9D9D9" w:sz="4" w:space="0"/>
            </w:tcBorders>
            <w:tcMar>
              <w:left w:w="60" w:type="dxa"/>
              <w:right w:w="60" w:type="dxa"/>
            </w:tcMar>
          </w:tcPr>
          <w:p>
            <w:pPr>
              <w:spacing w:before="20" w:after="20"/>
              <w:jc w:val="right"/>
              <w:rPr>
                <w:sz w:val="18"/>
              </w:rPr>
            </w:pPr>
            <w:r>
              <w:rPr>
                <w:sz w:val="18"/>
              </w:rPr>
              <w:t>24.9</w:t>
            </w:r>
          </w:p>
        </w:tc>
        <w:tc>
          <w:tcPr>
            <w:tcW w:w="1120" w:type="dxa"/>
            <w:tcBorders>
              <w:bottom w:val="single" w:color="D9D9D9" w:sz="4" w:space="0"/>
            </w:tcBorders>
            <w:tcMar>
              <w:left w:w="60" w:type="dxa"/>
              <w:right w:w="60" w:type="dxa"/>
            </w:tcMar>
          </w:tcPr>
          <w:p>
            <w:pPr>
              <w:spacing w:before="20" w:after="20"/>
              <w:jc w:val="right"/>
              <w:rPr>
                <w:sz w:val="18"/>
              </w:rPr>
            </w:pPr>
            <w:r>
              <w:rPr>
                <w:sz w:val="18"/>
              </w:rPr>
              <w:t>83.0%</w:t>
            </w:r>
          </w:p>
        </w:tc>
        <w:tc>
          <w:tcPr>
            <w:tcW w:w="1120" w:type="dxa"/>
            <w:tcBorders>
              <w:bottom w:val="single" w:color="D9D9D9" w:sz="4" w:space="0"/>
            </w:tcBorders>
            <w:tcMar>
              <w:left w:w="60" w:type="dxa"/>
              <w:right w:w="60" w:type="dxa"/>
            </w:tcMar>
          </w:tcPr>
          <w:p>
            <w:pPr>
              <w:spacing w:before="20" w:after="20"/>
              <w:jc w:val="right"/>
              <w:rPr>
                <w:sz w:val="18"/>
              </w:rPr>
            </w:pPr>
            <w:bookmarkStart w:id="76" w:name="citei-c635"/>
            <w:r>
              <w:rPr>
                <w:sz w:val="18"/>
              </w:rPr>
              <w:t>37.3</w:t>
            </w:r>
            <w:bookmarkEnd w:id="76"/>
          </w:p>
        </w:tc>
        <w:tc>
          <w:tcPr>
            <w:tcW w:w="1120" w:type="dxa"/>
            <w:tcBorders>
              <w:bottom w:val="single" w:color="D9D9D9" w:sz="4" w:space="0"/>
            </w:tcBorders>
            <w:tcMar>
              <w:left w:w="60" w:type="dxa"/>
              <w:right w:w="60" w:type="dxa"/>
            </w:tcMar>
          </w:tcPr>
          <w:p>
            <w:pPr>
              <w:spacing w:before="20" w:after="20"/>
              <w:jc w:val="right"/>
              <w:rPr>
                <w:sz w:val="18"/>
              </w:rPr>
            </w:pPr>
            <w:r>
              <w:rPr>
                <w:sz w:val="18"/>
              </w:rPr>
              <w:t>29.4</w:t>
            </w:r>
          </w:p>
        </w:tc>
      </w:tr>
      <w:tr>
        <w:tc>
          <w:tcPr>
            <w:tcW w:w="1840" w:type="dxa"/>
            <w:tcBorders>
              <w:bottom w:val="single" w:color="D9D9D9" w:sz="4" w:space="0"/>
            </w:tcBorders>
            <w:tcMar>
              <w:left w:w="60" w:type="dxa"/>
              <w:right w:w="60" w:type="dxa"/>
            </w:tcMar>
          </w:tcPr>
          <w:p>
            <w:pPr>
              <w:spacing w:before="20" w:after="20"/>
              <w:rPr>
                <w:sz w:val="18"/>
              </w:rPr>
            </w:pPr>
            <w:r>
              <w:rPr>
                <w:sz w:val="18"/>
              </w:rPr>
              <w:t>RNO I (ground lease)</w:t>
            </w:r>
          </w:p>
        </w:tc>
        <w:tc>
          <w:tcPr>
            <w:tcW w:w="1840" w:type="dxa"/>
            <w:tcBorders>
              <w:bottom w:val="single" w:color="D9D9D9" w:sz="4" w:space="0"/>
            </w:tcBorders>
            <w:tcMar>
              <w:left w:w="60" w:type="dxa"/>
              <w:right w:w="60" w:type="dxa"/>
            </w:tcMar>
          </w:tcPr>
          <w:p>
            <w:pPr>
              <w:spacing w:before="20" w:after="20"/>
              <w:rPr>
                <w:sz w:val="18"/>
              </w:rPr>
            </w:pPr>
            <w:r>
              <w:rPr>
                <w:sz w:val="18"/>
              </w:rPr>
              <w:t>Reno (TRIC), NV</w:t>
            </w:r>
          </w:p>
        </w:tc>
        <w:tc>
          <w:tcPr>
            <w:tcW w:w="920" w:type="dxa"/>
            <w:tcBorders>
              <w:bottom w:val="single" w:color="D9D9D9" w:sz="4" w:space="0"/>
            </w:tcBorders>
            <w:tcMar>
              <w:left w:w="60" w:type="dxa"/>
              <w:right w:w="60" w:type="dxa"/>
            </w:tcMar>
          </w:tcPr>
          <w:p>
            <w:pPr>
              <w:spacing w:before="20" w:after="20"/>
              <w:jc w:val="right"/>
              <w:rPr>
                <w:sz w:val="18"/>
              </w:rPr>
            </w:pPr>
            <w:r>
              <w:rPr>
                <w:sz w:val="18"/>
              </w:rPr>
              <w:t>2022</w:t>
            </w:r>
          </w:p>
        </w:tc>
        <w:tc>
          <w:tcPr>
            <w:tcW w:w="800" w:type="dxa"/>
            <w:tcBorders>
              <w:bottom w:val="single" w:color="D9D9D9" w:sz="4" w:space="0"/>
            </w:tcBorders>
            <w:tcMar>
              <w:left w:w="60" w:type="dxa"/>
              <w:right w:w="60" w:type="dxa"/>
            </w:tcMar>
          </w:tcPr>
          <w:p>
            <w:pPr>
              <w:spacing w:before="20" w:after="20"/>
              <w:jc w:val="right"/>
              <w:rPr>
                <w:sz w:val="18"/>
              </w:rPr>
            </w:pPr>
            <w:r>
              <w:rPr>
                <w:sz w:val="18"/>
              </w:rPr>
              <w:t>12</w:t>
            </w:r>
          </w:p>
        </w:tc>
        <w:tc>
          <w:tcPr>
            <w:tcW w:w="1080" w:type="dxa"/>
            <w:tcBorders>
              <w:bottom w:val="single" w:color="D9D9D9" w:sz="4" w:space="0"/>
            </w:tcBorders>
            <w:tcMar>
              <w:left w:w="60" w:type="dxa"/>
              <w:right w:w="60" w:type="dxa"/>
            </w:tcMar>
          </w:tcPr>
          <w:p>
            <w:pPr>
              <w:spacing w:before="20" w:after="20"/>
              <w:jc w:val="right"/>
              <w:rPr>
                <w:sz w:val="18"/>
              </w:rPr>
            </w:pPr>
            <w:r>
              <w:rPr>
                <w:sz w:val="18"/>
              </w:rPr>
              <w:t>9.8</w:t>
            </w:r>
          </w:p>
        </w:tc>
        <w:tc>
          <w:tcPr>
            <w:tcW w:w="1120" w:type="dxa"/>
            <w:tcBorders>
              <w:bottom w:val="single" w:color="D9D9D9" w:sz="4" w:space="0"/>
            </w:tcBorders>
            <w:tcMar>
              <w:left w:w="60" w:type="dxa"/>
              <w:right w:w="60" w:type="dxa"/>
            </w:tcMar>
          </w:tcPr>
          <w:p>
            <w:pPr>
              <w:spacing w:before="20" w:after="20"/>
              <w:jc w:val="right"/>
              <w:rPr>
                <w:sz w:val="18"/>
              </w:rPr>
            </w:pPr>
            <w:r>
              <w:rPr>
                <w:sz w:val="18"/>
              </w:rPr>
              <w:t>81.7%</w:t>
            </w:r>
          </w:p>
        </w:tc>
        <w:tc>
          <w:tcPr>
            <w:tcW w:w="1120" w:type="dxa"/>
            <w:tcBorders>
              <w:bottom w:val="single" w:color="D9D9D9" w:sz="4" w:space="0"/>
            </w:tcBorders>
            <w:tcMar>
              <w:left w:w="60" w:type="dxa"/>
              <w:right w:w="60" w:type="dxa"/>
            </w:tcMar>
          </w:tcPr>
          <w:p>
            <w:pPr>
              <w:spacing w:before="20" w:after="20"/>
              <w:jc w:val="right"/>
              <w:rPr>
                <w:sz w:val="18"/>
              </w:rPr>
            </w:pPr>
            <w:bookmarkStart w:id="77" w:name="citei-c636"/>
            <w:r>
              <w:rPr>
                <w:sz w:val="18"/>
              </w:rPr>
              <w:t>17.3</w:t>
            </w:r>
            <w:bookmarkEnd w:id="77"/>
          </w:p>
        </w:tc>
        <w:tc>
          <w:tcPr>
            <w:tcW w:w="1120" w:type="dxa"/>
            <w:tcBorders>
              <w:bottom w:val="single" w:color="D9D9D9" w:sz="4" w:space="0"/>
            </w:tcBorders>
            <w:tcMar>
              <w:left w:w="60" w:type="dxa"/>
              <w:right w:w="60" w:type="dxa"/>
            </w:tcMar>
          </w:tcPr>
          <w:p>
            <w:pPr>
              <w:spacing w:before="20" w:after="20"/>
              <w:jc w:val="right"/>
              <w:rPr>
                <w:sz w:val="18"/>
              </w:rPr>
            </w:pPr>
            <w:r>
              <w:rPr>
                <w:sz w:val="18"/>
              </w:rPr>
              <w:t>13.0</w:t>
            </w:r>
          </w:p>
        </w:tc>
      </w:tr>
      <w:tr>
        <w:tc>
          <w:tcPr>
            <w:tcW w:w="1840" w:type="dxa"/>
            <w:tcBorders>
              <w:bottom w:val="single" w:color="D9D9D9" w:sz="4" w:space="0"/>
            </w:tcBorders>
            <w:tcMar>
              <w:left w:w="60" w:type="dxa"/>
              <w:right w:w="60" w:type="dxa"/>
            </w:tcMar>
          </w:tcPr>
          <w:p>
            <w:pPr>
              <w:spacing w:before="20" w:after="20"/>
              <w:rPr>
                <w:b/>
                <w:sz w:val="18"/>
              </w:rPr>
            </w:pPr>
            <w:r>
              <w:rPr>
                <w:b/>
                <w:sz w:val="18"/>
              </w:rPr>
              <w:t>Total</w:t>
            </w:r>
          </w:p>
        </w:tc>
        <w:tc>
          <w:tcPr>
            <w:tcW w:w="1840" w:type="dxa"/>
            <w:tcBorders>
              <w:bottom w:val="single" w:color="D9D9D9" w:sz="4" w:space="0"/>
            </w:tcBorders>
            <w:tcMar>
              <w:left w:w="60" w:type="dxa"/>
              <w:right w:w="60" w:type="dxa"/>
            </w:tcMar>
          </w:tcPr>
          <w:p>
            <w:pPr>
              <w:spacing w:before="20" w:after="20"/>
              <w:rPr>
                <w:b/>
                <w:sz w:val="18"/>
              </w:rPr>
            </w:pPr>
            <w:r>
              <w:rPr>
                <w:b/>
                <w:sz w:val="18"/>
              </w:rPr>
              <w:t/>
            </w:r>
          </w:p>
        </w:tc>
        <w:tc>
          <w:tcPr>
            <w:tcW w:w="920" w:type="dxa"/>
            <w:tcBorders>
              <w:bottom w:val="single" w:color="D9D9D9" w:sz="4" w:space="0"/>
            </w:tcBorders>
            <w:tcMar>
              <w:left w:w="60" w:type="dxa"/>
              <w:right w:w="60" w:type="dxa"/>
            </w:tcMar>
          </w:tcPr>
          <w:p>
            <w:pPr>
              <w:spacing w:before="20" w:after="20"/>
              <w:jc w:val="right"/>
              <w:rPr>
                <w:b/>
                <w:sz w:val="18"/>
              </w:rPr>
            </w:pPr>
            <w:r>
              <w:rPr>
                <w:b/>
                <w:sz w:val="18"/>
              </w:rPr>
              <w:t/>
            </w:r>
          </w:p>
        </w:tc>
        <w:tc>
          <w:tcPr>
            <w:tcW w:w="800" w:type="dxa"/>
            <w:tcBorders>
              <w:bottom w:val="single" w:color="D9D9D9" w:sz="4" w:space="0"/>
            </w:tcBorders>
            <w:tcMar>
              <w:left w:w="60" w:type="dxa"/>
              <w:right w:w="60" w:type="dxa"/>
            </w:tcMar>
          </w:tcPr>
          <w:p>
            <w:pPr>
              <w:spacing w:before="20" w:after="20"/>
              <w:jc w:val="right"/>
              <w:rPr>
                <w:b/>
                <w:sz w:val="18"/>
              </w:rPr>
            </w:pPr>
            <w:r>
              <w:rPr>
                <w:b/>
                <w:sz w:val="18"/>
              </w:rPr>
              <w:t>220</w:t>
            </w:r>
          </w:p>
        </w:tc>
        <w:tc>
          <w:tcPr>
            <w:tcW w:w="1080" w:type="dxa"/>
            <w:tcBorders>
              <w:bottom w:val="single" w:color="D9D9D9" w:sz="4" w:space="0"/>
            </w:tcBorders>
            <w:tcMar>
              <w:left w:w="60" w:type="dxa"/>
              <w:right w:w="60" w:type="dxa"/>
            </w:tcMar>
          </w:tcPr>
          <w:p>
            <w:pPr>
              <w:spacing w:before="20" w:after="20"/>
              <w:jc w:val="right"/>
              <w:rPr>
                <w:b/>
                <w:sz w:val="18"/>
              </w:rPr>
            </w:pPr>
            <w:r>
              <w:rPr>
                <w:b/>
                <w:sz w:val="18"/>
              </w:rPr>
              <w:t>202.2</w:t>
            </w:r>
          </w:p>
        </w:tc>
        <w:tc>
          <w:tcPr>
            <w:tcW w:w="1120" w:type="dxa"/>
            <w:tcBorders>
              <w:bottom w:val="single" w:color="D9D9D9" w:sz="4" w:space="0"/>
            </w:tcBorders>
            <w:tcMar>
              <w:left w:w="60" w:type="dxa"/>
              <w:right w:w="60" w:type="dxa"/>
            </w:tcMar>
          </w:tcPr>
          <w:p>
            <w:pPr>
              <w:spacing w:before="20" w:after="20"/>
              <w:jc w:val="right"/>
              <w:rPr>
                <w:b/>
                <w:sz w:val="18"/>
              </w:rPr>
            </w:pPr>
            <w:r>
              <w:rPr>
                <w:b/>
                <w:sz w:val="18"/>
              </w:rPr>
              <w:t>91.9%</w:t>
            </w:r>
          </w:p>
        </w:tc>
        <w:tc>
          <w:tcPr>
            <w:tcW w:w="1120" w:type="dxa"/>
            <w:tcBorders>
              <w:bottom w:val="single" w:color="D9D9D9" w:sz="4" w:space="0"/>
            </w:tcBorders>
            <w:tcMar>
              <w:left w:w="60" w:type="dxa"/>
              <w:right w:w="60" w:type="dxa"/>
            </w:tcMar>
          </w:tcPr>
          <w:p>
            <w:pPr>
              <w:spacing w:before="20" w:after="20"/>
              <w:jc w:val="right"/>
              <w:rPr>
                <w:b/>
                <w:sz w:val="18"/>
              </w:rPr>
            </w:pPr>
            <w:bookmarkStart w:id="78" w:name="citei-c637"/>
            <w:r>
              <w:rPr>
                <w:b/>
                <w:sz w:val="18"/>
              </w:rPr>
              <w:t>305.0</w:t>
            </w:r>
            <w:bookmarkEnd w:id="78"/>
          </w:p>
        </w:tc>
        <w:tc>
          <w:tcPr>
            <w:tcW w:w="1120" w:type="dxa"/>
            <w:tcBorders>
              <w:bottom w:val="single" w:color="D9D9D9" w:sz="4" w:space="0"/>
            </w:tcBorders>
            <w:tcMar>
              <w:left w:w="60" w:type="dxa"/>
              <w:right w:w="60" w:type="dxa"/>
            </w:tcMar>
          </w:tcPr>
          <w:p>
            <w:pPr>
              <w:spacing w:before="20" w:after="20"/>
              <w:jc w:val="right"/>
              <w:rPr>
                <w:b/>
                <w:sz w:val="18"/>
              </w:rPr>
            </w:pPr>
            <w:r>
              <w:rPr>
                <w:b/>
                <w:sz w:val="18"/>
              </w:rPr>
              <w:t>243.5</w:t>
            </w:r>
          </w:p>
        </w:tc>
      </w:tr>
    </w:tbl>
    <w:p>
      <w:pPr>
        <w:spacing w:after="40"/>
      </w:pPr>
      <w:r>
        <w:t/>
      </w:r>
    </w:p>
    <w:p>
      <w:pPr>
        <w:pStyle w:val="Heading2"/>
        <w:keepNext/>
        <w:spacing w:before="120" w:after="60"/>
      </w:pPr>
      <w:r>
        <w:t>Capacity in flight (CIM 11.02 p18; FY26 budget and LRP 2.06)</w:t>
      </w:r>
    </w:p>
    <w:tbl>
      <w:tblPr>
        <w:tblW w:w="9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
      <w:tblGrid>
        <w:gridCol w:w="1440"/>
        <w:gridCol w:w="1440"/>
        <w:gridCol w:w="1440"/>
        <w:gridCol w:w="1440"/>
        <w:gridCol w:w="1440"/>
        <w:gridCol w:w="1440"/>
        <w:gridCol w:w="1440"/>
        <w:gridCol w:w="1440"/>
      </w:tblGrid>
      <w:tr>
        <w:trPr>
          <w:tblHeader/>
        </w:trPr>
        <w:tc>
          <w:tcPr>
            <w:tcW w:w="2080" w:type="dxa"/>
            <w:tcBorders>
              <w:bottom w:val="single" w:color="D9D9D9" w:sz="4" w:space="0"/>
            </w:tcBorders>
            <w:shd w:val="clear" w:fill="F2F0EC"/>
            <w:tcMar>
              <w:left w:w="60" w:type="dxa"/>
              <w:right w:w="60" w:type="dxa"/>
            </w:tcMar>
          </w:tcPr>
          <w:p>
            <w:pPr>
              <w:spacing w:before="20" w:after="20"/>
              <w:rPr>
                <w:b/>
                <w:sz w:val="17"/>
              </w:rPr>
            </w:pPr>
            <w:r>
              <w:rPr>
                <w:b/>
                <w:sz w:val="17"/>
              </w:rPr>
              <w:t>Project</w:t>
            </w:r>
          </w:p>
        </w:tc>
        <w:tc>
          <w:tcPr>
            <w:tcW w:w="640" w:type="dxa"/>
            <w:tcBorders>
              <w:bottom w:val="single" w:color="D9D9D9" w:sz="4" w:space="0"/>
            </w:tcBorders>
            <w:shd w:val="clear" w:fill="F2F0EC"/>
            <w:tcMar>
              <w:left w:w="60" w:type="dxa"/>
              <w:right w:w="60" w:type="dxa"/>
            </w:tcMar>
          </w:tcPr>
          <w:p>
            <w:pPr>
              <w:spacing w:before="20" w:after="20"/>
              <w:jc w:val="right"/>
              <w:rPr>
                <w:b/>
                <w:sz w:val="17"/>
              </w:rPr>
            </w:pPr>
            <w:r>
              <w:rPr>
                <w:b/>
                <w:sz w:val="17"/>
              </w:rPr>
              <w:t>MW</w:t>
            </w:r>
          </w:p>
        </w:tc>
        <w:tc>
          <w:tcPr>
            <w:tcW w:w="1040" w:type="dxa"/>
            <w:tcBorders>
              <w:bottom w:val="single" w:color="D9D9D9" w:sz="4" w:space="0"/>
            </w:tcBorders>
            <w:shd w:val="clear" w:fill="F2F0EC"/>
            <w:tcMar>
              <w:left w:w="60" w:type="dxa"/>
              <w:right w:w="60" w:type="dxa"/>
            </w:tcMar>
          </w:tcPr>
          <w:p>
            <w:pPr>
              <w:spacing w:before="20" w:after="20"/>
              <w:jc w:val="right"/>
              <w:rPr>
                <w:b/>
                <w:sz w:val="17"/>
              </w:rPr>
            </w:pPr>
            <w:r>
              <w:rPr>
                <w:b/>
                <w:sz w:val="17"/>
              </w:rPr>
              <w:t>Budget ($M)</w:t>
            </w:r>
          </w:p>
        </w:tc>
        <w:tc>
          <w:tcPr>
            <w:tcW w:w="1280" w:type="dxa"/>
            <w:tcBorders>
              <w:bottom w:val="single" w:color="D9D9D9" w:sz="4" w:space="0"/>
            </w:tcBorders>
            <w:shd w:val="clear" w:fill="F2F0EC"/>
            <w:tcMar>
              <w:left w:w="60" w:type="dxa"/>
              <w:right w:w="60" w:type="dxa"/>
            </w:tcMar>
          </w:tcPr>
          <w:p>
            <w:pPr>
              <w:spacing w:before="20" w:after="20"/>
              <w:jc w:val="right"/>
              <w:rPr>
                <w:b/>
                <w:sz w:val="17"/>
              </w:rPr>
            </w:pPr>
            <w:r>
              <w:rPr>
                <w:b/>
                <w:sz w:val="17"/>
              </w:rPr>
              <w:t>Spent to 31-Mar-26</w:t>
            </w:r>
          </w:p>
        </w:tc>
        <w:tc>
          <w:tcPr>
            <w:tcW w:w="1400" w:type="dxa"/>
            <w:tcBorders>
              <w:bottom w:val="single" w:color="D9D9D9" w:sz="4" w:space="0"/>
            </w:tcBorders>
            <w:shd w:val="clear" w:fill="F2F0EC"/>
            <w:tcMar>
              <w:left w:w="60" w:type="dxa"/>
              <w:right w:w="60" w:type="dxa"/>
            </w:tcMar>
          </w:tcPr>
          <w:p>
            <w:pPr>
              <w:spacing w:before="20" w:after="20"/>
              <w:jc w:val="right"/>
              <w:rPr>
                <w:b/>
                <w:sz w:val="17"/>
              </w:rPr>
            </w:pPr>
            <w:r>
              <w:rPr>
                <w:b/>
                <w:sz w:val="17"/>
              </w:rPr>
              <w:t>Plan spend Apr-Dec 26</w:t>
            </w:r>
          </w:p>
        </w:tc>
        <w:tc>
          <w:tcPr>
            <w:tcW w:w="1040" w:type="dxa"/>
            <w:tcBorders>
              <w:bottom w:val="single" w:color="D9D9D9" w:sz="4" w:space="0"/>
            </w:tcBorders>
            <w:shd w:val="clear" w:fill="F2F0EC"/>
            <w:tcMar>
              <w:left w:w="60" w:type="dxa"/>
              <w:right w:w="60" w:type="dxa"/>
            </w:tcMar>
          </w:tcPr>
          <w:p>
            <w:pPr>
              <w:spacing w:before="20" w:after="20"/>
              <w:jc w:val="right"/>
              <w:rPr>
                <w:b/>
                <w:sz w:val="17"/>
              </w:rPr>
            </w:pPr>
            <w:r>
              <w:rPr>
                <w:b/>
                <w:sz w:val="17"/>
              </w:rPr>
              <w:t>Pre-leased</w:t>
            </w:r>
          </w:p>
        </w:tc>
        <w:tc>
          <w:tcPr>
            <w:tcW w:w="1040" w:type="dxa"/>
            <w:tcBorders>
              <w:bottom w:val="single" w:color="D9D9D9" w:sz="4" w:space="0"/>
            </w:tcBorders>
            <w:shd w:val="clear" w:fill="F2F0EC"/>
            <w:tcMar>
              <w:left w:w="60" w:type="dxa"/>
              <w:right w:w="60" w:type="dxa"/>
            </w:tcMar>
          </w:tcPr>
          <w:p>
            <w:pPr>
              <w:spacing w:before="20" w:after="20"/>
              <w:rPr>
                <w:b/>
                <w:sz w:val="17"/>
              </w:rPr>
            </w:pPr>
            <w:r>
              <w:rPr>
                <w:b/>
                <w:sz w:val="17"/>
              </w:rPr>
              <w:t>Anchor</w:t>
            </w:r>
          </w:p>
        </w:tc>
        <w:tc>
          <w:tcPr>
            <w:tcW w:w="1320" w:type="dxa"/>
            <w:tcBorders>
              <w:bottom w:val="single" w:color="D9D9D9" w:sz="4" w:space="0"/>
            </w:tcBorders>
            <w:shd w:val="clear" w:fill="F2F0EC"/>
            <w:tcMar>
              <w:left w:w="60" w:type="dxa"/>
              <w:right w:w="60" w:type="dxa"/>
            </w:tcMar>
          </w:tcPr>
          <w:p>
            <w:pPr>
              <w:spacing w:before="20" w:after="20"/>
              <w:rPr>
                <w:b/>
                <w:sz w:val="17"/>
              </w:rPr>
            </w:pPr>
            <w:r>
              <w:rPr>
                <w:b/>
                <w:sz w:val="17"/>
              </w:rPr>
              <w:t>Delivery</w:t>
            </w:r>
          </w:p>
        </w:tc>
      </w:tr>
      <w:tr>
        <w:tc>
          <w:tcPr>
            <w:tcW w:w="2080" w:type="dxa"/>
            <w:tcBorders>
              <w:bottom w:val="single" w:color="D9D9D9" w:sz="4" w:space="0"/>
            </w:tcBorders>
            <w:tcMar>
              <w:left w:w="60" w:type="dxa"/>
              <w:right w:w="60" w:type="dxa"/>
            </w:tcMar>
          </w:tcPr>
          <w:p>
            <w:pPr>
              <w:spacing w:before="20" w:after="20"/>
              <w:rPr>
                <w:sz w:val="17"/>
              </w:rPr>
            </w:pPr>
            <w:r>
              <w:rPr>
                <w:sz w:val="17"/>
              </w:rPr>
              <w:t>PHX II, Mesa, AZ</w:t>
            </w:r>
          </w:p>
        </w:tc>
        <w:tc>
          <w:tcPr>
            <w:tcW w:w="640" w:type="dxa"/>
            <w:tcBorders>
              <w:bottom w:val="single" w:color="D9D9D9" w:sz="4" w:space="0"/>
            </w:tcBorders>
            <w:tcMar>
              <w:left w:w="60" w:type="dxa"/>
              <w:right w:w="60" w:type="dxa"/>
            </w:tcMar>
          </w:tcPr>
          <w:p>
            <w:pPr>
              <w:spacing w:before="20" w:after="20"/>
              <w:jc w:val="right"/>
              <w:rPr>
                <w:sz w:val="17"/>
              </w:rPr>
            </w:pPr>
            <w:r>
              <w:rPr>
                <w:sz w:val="17"/>
              </w:rPr>
              <w:t>60</w:t>
            </w:r>
          </w:p>
        </w:tc>
        <w:tc>
          <w:tcPr>
            <w:tcW w:w="1040" w:type="dxa"/>
            <w:tcBorders>
              <w:bottom w:val="single" w:color="D9D9D9" w:sz="4" w:space="0"/>
            </w:tcBorders>
            <w:tcMar>
              <w:left w:w="60" w:type="dxa"/>
              <w:right w:w="60" w:type="dxa"/>
            </w:tcMar>
          </w:tcPr>
          <w:p>
            <w:pPr>
              <w:spacing w:before="20" w:after="20"/>
              <w:jc w:val="right"/>
              <w:rPr>
                <w:sz w:val="17"/>
              </w:rPr>
            </w:pPr>
            <w:bookmarkStart w:id="79" w:name="citei-c638"/>
            <w:r>
              <w:rPr>
                <w:sz w:val="17"/>
              </w:rPr>
              <w:t>618</w:t>
            </w:r>
            <w:bookmarkEnd w:id="79"/>
          </w:p>
        </w:tc>
        <w:tc>
          <w:tcPr>
            <w:tcW w:w="1280" w:type="dxa"/>
            <w:tcBorders>
              <w:bottom w:val="single" w:color="D9D9D9" w:sz="4" w:space="0"/>
            </w:tcBorders>
            <w:tcMar>
              <w:left w:w="60" w:type="dxa"/>
              <w:right w:w="60" w:type="dxa"/>
            </w:tcMar>
          </w:tcPr>
          <w:p>
            <w:pPr>
              <w:spacing w:before="20" w:after="20"/>
              <w:jc w:val="right"/>
              <w:rPr>
                <w:sz w:val="17"/>
              </w:rPr>
            </w:pPr>
            <w:r>
              <w:rPr>
                <w:sz w:val="17"/>
              </w:rPr>
              <w:t>412</w:t>
            </w:r>
          </w:p>
        </w:tc>
        <w:tc>
          <w:tcPr>
            <w:tcW w:w="1400" w:type="dxa"/>
            <w:tcBorders>
              <w:bottom w:val="single" w:color="D9D9D9" w:sz="4" w:space="0"/>
            </w:tcBorders>
            <w:tcMar>
              <w:left w:w="60" w:type="dxa"/>
              <w:right w:w="60" w:type="dxa"/>
            </w:tcMar>
          </w:tcPr>
          <w:p>
            <w:pPr>
              <w:spacing w:before="20" w:after="20"/>
              <w:jc w:val="right"/>
              <w:rPr>
                <w:sz w:val="17"/>
              </w:rPr>
            </w:pPr>
            <w:bookmarkStart w:id="82" w:name="citei-c641"/>
            <w:r>
              <w:rPr>
                <w:sz w:val="17"/>
              </w:rPr>
              <w:t>206</w:t>
            </w:r>
            <w:bookmarkEnd w:id="82"/>
          </w:p>
        </w:tc>
        <w:tc>
          <w:tcPr>
            <w:tcW w:w="1040" w:type="dxa"/>
            <w:tcBorders>
              <w:bottom w:val="single" w:color="D9D9D9" w:sz="4" w:space="0"/>
            </w:tcBorders>
            <w:tcMar>
              <w:left w:w="60" w:type="dxa"/>
              <w:right w:w="60" w:type="dxa"/>
            </w:tcMar>
          </w:tcPr>
          <w:p>
            <w:pPr>
              <w:spacing w:before="20" w:after="20"/>
              <w:jc w:val="right"/>
              <w:rPr>
                <w:sz w:val="17"/>
              </w:rPr>
            </w:pPr>
            <w:r>
              <w:rPr>
                <w:sz w:val="17"/>
              </w:rPr>
              <w:t>70%</w:t>
            </w:r>
          </w:p>
        </w:tc>
        <w:tc>
          <w:tcPr>
            <w:tcW w:w="1040" w:type="dxa"/>
            <w:tcBorders>
              <w:bottom w:val="single" w:color="D9D9D9" w:sz="4" w:space="0"/>
            </w:tcBorders>
            <w:tcMar>
              <w:left w:w="60" w:type="dxa"/>
              <w:right w:w="60" w:type="dxa"/>
            </w:tcMar>
          </w:tcPr>
          <w:p>
            <w:pPr>
              <w:spacing w:before="20" w:after="20"/>
              <w:rPr>
                <w:sz w:val="17"/>
              </w:rPr>
            </w:pPr>
            <w:r>
              <w:rPr>
                <w:sz w:val="17"/>
              </w:rPr>
              <w:t>Tenant A</w:t>
            </w:r>
          </w:p>
        </w:tc>
        <w:tc>
          <w:tcPr>
            <w:tcW w:w="1320" w:type="dxa"/>
            <w:tcBorders>
              <w:bottom w:val="single" w:color="D9D9D9" w:sz="4" w:space="0"/>
            </w:tcBorders>
            <w:tcMar>
              <w:left w:w="60" w:type="dxa"/>
              <w:right w:w="60" w:type="dxa"/>
            </w:tcMar>
          </w:tcPr>
          <w:p>
            <w:pPr>
              <w:spacing w:before="20" w:after="20"/>
              <w:rPr>
                <w:sz w:val="17"/>
              </w:rPr>
            </w:pPr>
            <w:bookmarkStart w:id="84" w:name="citei-c643"/>
            <w:r>
              <w:rPr>
                <w:sz w:val="17"/>
              </w:rPr>
              <w:t>From Nov 2026</w:t>
            </w:r>
            <w:bookmarkEnd w:id="84"/>
          </w:p>
        </w:tc>
      </w:tr>
      <w:tr>
        <w:tc>
          <w:tcPr>
            <w:tcW w:w="2080" w:type="dxa"/>
            <w:tcBorders>
              <w:bottom w:val="single" w:color="D9D9D9" w:sz="4" w:space="0"/>
            </w:tcBorders>
            <w:tcMar>
              <w:left w:w="60" w:type="dxa"/>
              <w:right w:w="60" w:type="dxa"/>
            </w:tcMar>
          </w:tcPr>
          <w:p>
            <w:pPr>
              <w:spacing w:before="20" w:after="20"/>
              <w:rPr>
                <w:sz w:val="17"/>
              </w:rPr>
            </w:pPr>
            <w:r>
              <w:rPr>
                <w:sz w:val="17"/>
              </w:rPr>
              <w:t>ATL II, Lithia Springs, GA</w:t>
            </w:r>
          </w:p>
        </w:tc>
        <w:tc>
          <w:tcPr>
            <w:tcW w:w="640" w:type="dxa"/>
            <w:tcBorders>
              <w:bottom w:val="single" w:color="D9D9D9" w:sz="4" w:space="0"/>
            </w:tcBorders>
            <w:tcMar>
              <w:left w:w="60" w:type="dxa"/>
              <w:right w:w="60" w:type="dxa"/>
            </w:tcMar>
          </w:tcPr>
          <w:p>
            <w:pPr>
              <w:spacing w:before="20" w:after="20"/>
              <w:jc w:val="right"/>
              <w:rPr>
                <w:sz w:val="17"/>
              </w:rPr>
            </w:pPr>
            <w:r>
              <w:rPr>
                <w:sz w:val="17"/>
              </w:rPr>
              <w:t>36</w:t>
            </w:r>
          </w:p>
        </w:tc>
        <w:tc>
          <w:tcPr>
            <w:tcW w:w="1040" w:type="dxa"/>
            <w:tcBorders>
              <w:bottom w:val="single" w:color="D9D9D9" w:sz="4" w:space="0"/>
            </w:tcBorders>
            <w:tcMar>
              <w:left w:w="60" w:type="dxa"/>
              <w:right w:w="60" w:type="dxa"/>
            </w:tcMar>
          </w:tcPr>
          <w:p>
            <w:pPr>
              <w:spacing w:before="20" w:after="20"/>
              <w:jc w:val="right"/>
              <w:rPr>
                <w:sz w:val="17"/>
              </w:rPr>
            </w:pPr>
            <w:bookmarkStart w:id="80" w:name="citei-c639"/>
            <w:r>
              <w:rPr>
                <w:sz w:val="17"/>
              </w:rPr>
              <w:t>370</w:t>
            </w:r>
            <w:bookmarkEnd w:id="80"/>
          </w:p>
        </w:tc>
        <w:tc>
          <w:tcPr>
            <w:tcW w:w="1280" w:type="dxa"/>
            <w:tcBorders>
              <w:bottom w:val="single" w:color="D9D9D9" w:sz="4" w:space="0"/>
            </w:tcBorders>
            <w:tcMar>
              <w:left w:w="60" w:type="dxa"/>
              <w:right w:w="60" w:type="dxa"/>
            </w:tcMar>
          </w:tcPr>
          <w:p>
            <w:pPr>
              <w:spacing w:before="20" w:after="20"/>
              <w:jc w:val="right"/>
              <w:rPr>
                <w:sz w:val="17"/>
              </w:rPr>
            </w:pPr>
            <w:r>
              <w:rPr>
                <w:sz w:val="17"/>
              </w:rPr>
              <w:t>96</w:t>
            </w:r>
          </w:p>
        </w:tc>
        <w:tc>
          <w:tcPr>
            <w:tcW w:w="1400" w:type="dxa"/>
            <w:tcBorders>
              <w:bottom w:val="single" w:color="D9D9D9" w:sz="4" w:space="0"/>
            </w:tcBorders>
            <w:tcMar>
              <w:left w:w="60" w:type="dxa"/>
              <w:right w:w="60" w:type="dxa"/>
            </w:tcMar>
          </w:tcPr>
          <w:p>
            <w:pPr>
              <w:spacing w:before="20" w:after="20"/>
              <w:jc w:val="right"/>
              <w:rPr>
                <w:sz w:val="17"/>
              </w:rPr>
            </w:pPr>
            <w:bookmarkStart w:id="83" w:name="citei-c642"/>
            <w:r>
              <w:rPr>
                <w:sz w:val="17"/>
              </w:rPr>
              <w:t>160</w:t>
            </w:r>
            <w:bookmarkEnd w:id="83"/>
          </w:p>
        </w:tc>
        <w:tc>
          <w:tcPr>
            <w:tcW w:w="1040" w:type="dxa"/>
            <w:tcBorders>
              <w:bottom w:val="single" w:color="D9D9D9" w:sz="4" w:space="0"/>
            </w:tcBorders>
            <w:tcMar>
              <w:left w:w="60" w:type="dxa"/>
              <w:right w:w="60" w:type="dxa"/>
            </w:tcMar>
          </w:tcPr>
          <w:p>
            <w:pPr>
              <w:spacing w:before="20" w:after="20"/>
              <w:jc w:val="right"/>
              <w:rPr>
                <w:sz w:val="17"/>
              </w:rPr>
            </w:pPr>
            <w:r>
              <w:rPr>
                <w:sz w:val="17"/>
              </w:rPr>
              <w:t>40%</w:t>
            </w:r>
          </w:p>
        </w:tc>
        <w:tc>
          <w:tcPr>
            <w:tcW w:w="1040" w:type="dxa"/>
            <w:tcBorders>
              <w:bottom w:val="single" w:color="D9D9D9" w:sz="4" w:space="0"/>
            </w:tcBorders>
            <w:tcMar>
              <w:left w:w="60" w:type="dxa"/>
              <w:right w:w="60" w:type="dxa"/>
            </w:tcMar>
          </w:tcPr>
          <w:p>
            <w:pPr>
              <w:spacing w:before="20" w:after="20"/>
              <w:rPr>
                <w:sz w:val="17"/>
              </w:rPr>
            </w:pPr>
            <w:r>
              <w:rPr>
                <w:sz w:val="17"/>
              </w:rPr>
              <w:t>Tenant C</w:t>
            </w:r>
          </w:p>
        </w:tc>
        <w:tc>
          <w:tcPr>
            <w:tcW w:w="1320" w:type="dxa"/>
            <w:tcBorders>
              <w:bottom w:val="single" w:color="D9D9D9" w:sz="4" w:space="0"/>
            </w:tcBorders>
            <w:tcMar>
              <w:left w:w="60" w:type="dxa"/>
              <w:right w:w="60" w:type="dxa"/>
            </w:tcMar>
          </w:tcPr>
          <w:p>
            <w:pPr>
              <w:spacing w:before="20" w:after="20"/>
              <w:rPr>
                <w:sz w:val="17"/>
              </w:rPr>
            </w:pPr>
            <w:r>
              <w:rPr>
                <w:sz w:val="17"/>
              </w:rPr>
              <w:t>Jun 2027</w:t>
            </w:r>
          </w:p>
        </w:tc>
      </w:tr>
      <w:tr>
        <w:tc>
          <w:tcPr>
            <w:tcW w:w="2080" w:type="dxa"/>
            <w:tcBorders>
              <w:bottom w:val="single" w:color="D9D9D9" w:sz="4" w:space="0"/>
            </w:tcBorders>
            <w:tcMar>
              <w:left w:w="60" w:type="dxa"/>
              <w:right w:w="60" w:type="dxa"/>
            </w:tcMar>
          </w:tcPr>
          <w:p>
            <w:pPr>
              <w:spacing w:before="20" w:after="20"/>
              <w:rPr>
                <w:b/>
                <w:sz w:val="17"/>
              </w:rPr>
            </w:pPr>
            <w:r>
              <w:rPr>
                <w:b/>
                <w:sz w:val="17"/>
              </w:rPr>
              <w:t>Total</w:t>
            </w:r>
          </w:p>
        </w:tc>
        <w:tc>
          <w:tcPr>
            <w:tcW w:w="640" w:type="dxa"/>
            <w:tcBorders>
              <w:bottom w:val="single" w:color="D9D9D9" w:sz="4" w:space="0"/>
            </w:tcBorders>
            <w:tcMar>
              <w:left w:w="60" w:type="dxa"/>
              <w:right w:w="60" w:type="dxa"/>
            </w:tcMar>
          </w:tcPr>
          <w:p>
            <w:pPr>
              <w:spacing w:before="20" w:after="20"/>
              <w:jc w:val="right"/>
              <w:rPr>
                <w:b/>
                <w:sz w:val="17"/>
              </w:rPr>
            </w:pPr>
            <w:r>
              <w:rPr>
                <w:b/>
                <w:sz w:val="17"/>
              </w:rPr>
              <w:t>96</w:t>
            </w:r>
          </w:p>
        </w:tc>
        <w:tc>
          <w:tcPr>
            <w:tcW w:w="1040" w:type="dxa"/>
            <w:tcBorders>
              <w:bottom w:val="single" w:color="D9D9D9" w:sz="4" w:space="0"/>
            </w:tcBorders>
            <w:tcMar>
              <w:left w:w="60" w:type="dxa"/>
              <w:right w:w="60" w:type="dxa"/>
            </w:tcMar>
          </w:tcPr>
          <w:p>
            <w:pPr>
              <w:spacing w:before="20" w:after="20"/>
              <w:jc w:val="right"/>
              <w:rPr>
                <w:b/>
                <w:sz w:val="17"/>
              </w:rPr>
            </w:pPr>
            <w:bookmarkStart w:id="81" w:name="citei-c640"/>
            <w:r>
              <w:rPr>
                <w:b/>
                <w:sz w:val="17"/>
              </w:rPr>
              <w:t>988</w:t>
            </w:r>
            <w:bookmarkEnd w:id="81"/>
          </w:p>
        </w:tc>
        <w:tc>
          <w:tcPr>
            <w:tcW w:w="1280" w:type="dxa"/>
            <w:tcBorders>
              <w:bottom w:val="single" w:color="D9D9D9" w:sz="4" w:space="0"/>
            </w:tcBorders>
            <w:tcMar>
              <w:left w:w="60" w:type="dxa"/>
              <w:right w:w="60" w:type="dxa"/>
            </w:tcMar>
          </w:tcPr>
          <w:p>
            <w:pPr>
              <w:spacing w:before="20" w:after="20"/>
              <w:jc w:val="right"/>
              <w:rPr>
                <w:b/>
                <w:sz w:val="17"/>
              </w:rPr>
            </w:pPr>
            <w:r>
              <w:rPr>
                <w:b/>
                <w:sz w:val="17"/>
              </w:rPr>
              <w:t>508</w:t>
            </w:r>
          </w:p>
        </w:tc>
        <w:tc>
          <w:tcPr>
            <w:tcW w:w="1400" w:type="dxa"/>
            <w:tcBorders>
              <w:bottom w:val="single" w:color="D9D9D9" w:sz="4" w:space="0"/>
            </w:tcBorders>
            <w:tcMar>
              <w:left w:w="60" w:type="dxa"/>
              <w:right w:w="60" w:type="dxa"/>
            </w:tcMar>
          </w:tcPr>
          <w:p>
            <w:pPr>
              <w:spacing w:before="20" w:after="20"/>
              <w:jc w:val="right"/>
              <w:rPr>
                <w:b/>
                <w:sz w:val="17"/>
              </w:rPr>
            </w:pPr>
            <w:r>
              <w:rPr>
                <w:b/>
                <w:sz w:val="17"/>
              </w:rPr>
              <w:t>366</w:t>
            </w:r>
          </w:p>
        </w:tc>
        <w:tc>
          <w:tcPr>
            <w:tcW w:w="1040" w:type="dxa"/>
            <w:tcBorders>
              <w:bottom w:val="single" w:color="D9D9D9" w:sz="4" w:space="0"/>
            </w:tcBorders>
            <w:tcMar>
              <w:left w:w="60" w:type="dxa"/>
              <w:right w:w="60" w:type="dxa"/>
            </w:tcMar>
          </w:tcPr>
          <w:p>
            <w:pPr>
              <w:spacing w:before="20" w:after="20"/>
              <w:jc w:val="right"/>
              <w:rPr>
                <w:b/>
                <w:sz w:val="17"/>
              </w:rPr>
            </w:pPr>
            <w:r>
              <w:rPr>
                <w:b/>
                <w:sz w:val="17"/>
              </w:rPr>
              <w:t>59%</w:t>
            </w:r>
          </w:p>
        </w:tc>
        <w:tc>
          <w:tcPr>
            <w:tcW w:w="1040" w:type="dxa"/>
            <w:tcBorders>
              <w:bottom w:val="single" w:color="D9D9D9" w:sz="4" w:space="0"/>
            </w:tcBorders>
            <w:tcMar>
              <w:left w:w="60" w:type="dxa"/>
              <w:right w:w="60" w:type="dxa"/>
            </w:tcMar>
          </w:tcPr>
          <w:p>
            <w:pPr>
              <w:spacing w:before="20" w:after="20"/>
              <w:rPr>
                <w:b/>
                <w:sz w:val="17"/>
              </w:rPr>
            </w:pPr>
            <w:r>
              <w:rPr>
                <w:b/>
                <w:sz w:val="17"/>
              </w:rPr>
              <w:t/>
            </w:r>
          </w:p>
        </w:tc>
        <w:tc>
          <w:tcPr>
            <w:tcW w:w="1320" w:type="dxa"/>
            <w:tcBorders>
              <w:bottom w:val="single" w:color="D9D9D9" w:sz="4" w:space="0"/>
            </w:tcBorders>
            <w:tcMar>
              <w:left w:w="60" w:type="dxa"/>
              <w:right w:w="60" w:type="dxa"/>
            </w:tcMar>
          </w:tcPr>
          <w:p>
            <w:pPr>
              <w:spacing w:before="20" w:after="20"/>
              <w:rPr>
                <w:b/>
                <w:sz w:val="17"/>
              </w:rPr>
            </w:pPr>
            <w:r>
              <w:rPr>
                <w:b/>
                <w:sz w:val="17"/>
              </w:rPr>
              <w:t/>
            </w:r>
          </w:p>
        </w:tc>
      </w:tr>
    </w:tbl>
    <w:p>
      <w:pPr>
        <w:spacing w:after="40"/>
      </w:pPr>
      <w:r>
        <w:t/>
      </w:r>
    </w:p>
    <w:p>
      <w:pPr>
        <w:pStyle w:val="Heading1"/>
        <w:keepNext/>
        <w:spacing w:before="200" w:after="60"/>
      </w:pPr>
      <w:r>
        <w:t>3. Investment thesis</w:t>
      </w:r>
    </w:p>
    <w:p>
      <w:pPr>
        <w:pStyle w:val="Normal"/>
        <w:spacing w:after="100"/>
        <w:ind w:left="200"/>
      </w:pPr>
      <w:r>
        <w:t/>
      </w:r>
      <w:r>
        <w:rPr>
          <w:b/>
        </w:rPr>
        <w:t xml:space="preserve">1. Energized capacity where power is the constraint. </w:t>
      </w:r>
      <w:r>
        <w:t xml:space="preserve">Vacancy in the major US colocation markets is </w:t>
      </w:r>
      <w:bookmarkStart w:id="85" w:name="citei-c644"/>
      <w:r>
        <w:t>below 2%</w:t>
      </w:r>
      <w:bookmarkEnd w:id="85"/>
      <w:r>
        <w:t xml:space="preserve"> and utility interconnection queues of </w:t>
      </w:r>
      <w:bookmarkStart w:id="86" w:name="citei-c645"/>
      <w:r>
        <w:t>3 to 7 years</w:t>
      </w:r>
      <w:bookmarkEnd w:id="86"/>
      <w:r>
        <w:t xml:space="preserve"> gate new entry in every Ironvale market; the market study puts its US hyperscale demand index at </w:t>
      </w:r>
      <w:bookmarkStart w:id="87" w:name="citei-c646"/>
      <w:r>
        <w:t>296 in 2025</w:t>
      </w:r>
      <w:bookmarkEnd w:id="87"/>
      <w:r>
        <w:t xml:space="preserve"> (2020 = 100). Ironvale's </w:t>
      </w:r>
      <w:bookmarkStart w:id="88" w:name="citei-c647"/>
      <w:r>
        <w:t>220.0 MW</w:t>
      </w:r>
      <w:bookmarkEnd w:id="88"/>
      <w:r>
        <w:t xml:space="preserve"> is verified by the technical review.</w:t>
      </w:r>
    </w:p>
    <w:p>
      <w:pPr>
        <w:pStyle w:val="Normal"/>
        <w:spacing w:after="100"/>
        <w:ind w:left="200"/>
      </w:pPr>
      <w:r>
        <w:t/>
      </w:r>
      <w:r>
        <w:rPr>
          <w:b/>
        </w:rPr>
        <w:t xml:space="preserve">2. Contracted growth already in construction. </w:t>
      </w:r>
      <w:r>
        <w:t>PHX II is 70% and ATL II 40% pre-leased to two of the three anchors (</w:t>
      </w:r>
      <w:bookmarkStart w:id="89" w:name="citei-c648"/>
      <w:r>
        <w:t>59% blended</w:t>
      </w:r>
      <w:bookmarkEnd w:id="89"/>
      <w:r>
        <w:t xml:space="preserve">). We underwrite </w:t>
      </w:r>
      <w:bookmarkStart w:id="90" w:name="citei-c649"/>
      <w:r>
        <w:t>$99.0M</w:t>
      </w:r>
      <w:bookmarkEnd w:id="90"/>
      <w:r>
        <w:t xml:space="preserve"> of stabilized EBITDA from the 96 MW, a </w:t>
      </w:r>
      <w:bookmarkStart w:id="91" w:name="citei-c650"/>
      <w:r>
        <w:t>9.8%</w:t>
      </w:r>
      <w:bookmarkEnd w:id="91"/>
      <w:r>
        <w:t xml:space="preserve"> yield on total cost, below the </w:t>
      </w:r>
      <w:bookmarkStart w:id="92" w:name="citei-c651"/>
      <w:r>
        <w:t>low-teens yield</w:t>
      </w:r>
      <w:bookmarkEnd w:id="92"/>
      <w:r>
        <w:t xml:space="preserve"> the CIM cites; it carries buyer EBITDA from </w:t>
      </w:r>
      <w:bookmarkStart w:id="93" w:name="citei-c652"/>
      <w:r>
        <w:t>$212.1M</w:t>
      </w:r>
      <w:bookmarkEnd w:id="93"/>
      <w:r>
        <w:t xml:space="preserve"> in FY26 to </w:t>
      </w:r>
      <w:bookmarkStart w:id="94" w:name="citei-c653"/>
      <w:r>
        <w:t>$335.2M</w:t>
      </w:r>
      <w:bookmarkEnd w:id="94"/>
      <w:r>
        <w:t xml:space="preserve"> in FY31.</w:t>
      </w:r>
    </w:p>
    <w:p>
      <w:pPr>
        <w:pStyle w:val="Normal"/>
        <w:spacing w:after="100"/>
        <w:ind w:left="200"/>
      </w:pPr>
      <w:r>
        <w:t/>
      </w:r>
      <w:r>
        <w:rPr>
          <w:b/>
        </w:rPr>
        <w:t xml:space="preserve">3. Hard-asset value under the price. </w:t>
      </w:r>
      <w:r>
        <w:t xml:space="preserve">The reference multiple of </w:t>
      </w:r>
      <w:bookmarkStart w:id="95" w:name="citei-c654"/>
      <w:r>
        <w:t>19.2x</w:t>
      </w:r>
      <w:bookmarkEnd w:id="95"/>
      <w:r>
        <w:t xml:space="preserve"> is the six campus appraisals (</w:t>
      </w:r>
      <w:bookmarkStart w:id="96" w:name="citei-c655"/>
      <w:r>
        <w:t>$4,095M</w:t>
      </w:r>
      <w:bookmarkEnd w:id="96"/>
      <w:r>
        <w:t xml:space="preserve"> as is at 31-Mar-26) over FY25 EBITDA before other income (</w:t>
      </w:r>
      <w:bookmarkStart w:id="97" w:name="citei-c656"/>
      <w:r>
        <w:t>$212.8M</w:t>
      </w:r>
      <w:bookmarkEnd w:id="97"/>
      <w:r>
        <w:t xml:space="preserve">); it values the operating buildings only, with no platform premium and no development pipeline. With capacity in flight at cost, asset value at the close is about </w:t>
      </w:r>
      <w:bookmarkStart w:id="98" w:name="citei-c657"/>
      <w:r>
        <w:t>$4,969M</w:t>
      </w:r>
      <w:bookmarkEnd w:id="98"/>
      <w:r>
        <w:t xml:space="preserve"> against our $4,591M.</w:t>
      </w:r>
    </w:p>
    <w:p>
      <w:pPr>
        <w:pStyle w:val="Normal"/>
        <w:spacing w:after="100"/>
        <w:ind w:left="200"/>
      </w:pPr>
      <w:r>
        <w:t/>
      </w:r>
      <w:r>
        <w:rPr>
          <w:b/>
        </w:rPr>
        <w:t xml:space="preserve">4. Optionality we do not pay for. </w:t>
      </w:r>
      <w:r>
        <w:t xml:space="preserve">The long-range plan reaches </w:t>
      </w:r>
      <w:bookmarkStart w:id="99" w:name="citei-c658"/>
      <w:r>
        <w:t>$540M</w:t>
      </w:r>
      <w:bookmarkEnd w:id="99"/>
      <w:r>
        <w:t xml:space="preserve"> of FY30 adjusted EBITDA on the land bank against </w:t>
      </w:r>
      <w:bookmarkStart w:id="100" w:name="citei-c659"/>
      <w:r>
        <w:t>$329.3M</w:t>
      </w:r>
      <w:bookmarkEnd w:id="100"/>
      <w:r>
        <w:t xml:space="preserve"> in our case. We treat it as an option: the plan costs new phases at </w:t>
      </w:r>
      <w:bookmarkStart w:id="101" w:name="citei-c660"/>
      <w:r>
        <w:t>about $6.8M per MW</w:t>
      </w:r>
      <w:bookmarkEnd w:id="101"/>
      <w:r>
        <w:t xml:space="preserve"> against $10.3M for capacity in flight and </w:t>
      </w:r>
      <w:bookmarkStart w:id="102" w:name="citei-c661"/>
      <w:r>
        <w:t>$11M to $14M</w:t>
      </w:r>
      <w:bookmarkEnd w:id="102"/>
      <w:r>
        <w:t xml:space="preserve"> in the market, a shortfall of </w:t>
      </w:r>
      <w:bookmarkStart w:id="103" w:name="citei-c662"/>
      <w:r>
        <w:t>about $0.8B</w:t>
      </w:r>
      <w:bookmarkEnd w:id="103"/>
      <w:r>
        <w:t xml:space="preserve"> of capital.</w:t>
      </w:r>
    </w:p>
    <w:p>
      <w:pPr>
        <w:pStyle w:val="Normal"/>
        <w:spacing w:after="100"/>
        <w:ind w:left="200"/>
      </w:pPr>
      <w:r>
        <w:t/>
      </w:r>
      <w:r>
        <w:rPr>
          <w:b/>
        </w:rPr>
        <w:t xml:space="preserve">5. Institutional operations. </w:t>
      </w:r>
      <w:r>
        <w:t xml:space="preserve">FY25 fleet uptime was </w:t>
      </w:r>
      <w:bookmarkStart w:id="104" w:name="citei-c663"/>
      <w:r>
        <w:t>99.9994%</w:t>
      </w:r>
      <w:bookmarkEnd w:id="104"/>
      <w:r>
        <w:t xml:space="preserve">, and the technical review rates condition good to excellent, with the DFW I-A chiller plant </w:t>
      </w:r>
      <w:bookmarkStart w:id="105" w:name="citei-c664"/>
      <w:r>
        <w:t>($18M, FY27)</w:t>
      </w:r>
      <w:bookmarkEnd w:id="105"/>
      <w:r>
        <w:t xml:space="preserve"> the sole material exception.</w:t>
      </w:r>
    </w:p>
    <w:p>
      <w:pPr>
        <w:pStyle w:val="Heading1"/>
        <w:keepNext/>
        <w:spacing w:before="200" w:after="60"/>
      </w:pPr>
      <w:r>
        <w:t>4. Key diligence findings</w:t>
      </w:r>
    </w:p>
    <w:p>
      <w:pPr>
        <w:pStyle w:val="Normal"/>
        <w:spacing w:before="0" w:after="100"/>
      </w:pPr>
      <w:r>
        <w:t xml:space="preserve">The earnings base is </w:t>
      </w:r>
      <w:bookmarkStart w:id="106" w:name="citei-c665"/>
      <w:r>
        <w:t>$206.9M</w:t>
      </w:r>
      <w:bookmarkEnd w:id="106"/>
      <w:r>
        <w:t xml:space="preserve">, not the seller's </w:t>
      </w:r>
      <w:bookmarkStart w:id="107" w:name="citei-c666"/>
      <w:r>
        <w:t>$224.0M</w:t>
      </w:r>
      <w:bookmarkEnd w:id="107"/>
      <w:r>
        <w:t xml:space="preserve">. Add-back tests take $8.9M out (to $215.1M): pre-process transaction costs, the severance add-back (rejected; the roles are being rehired), VPPA settlements and interest income. The </w:t>
      </w:r>
      <w:bookmarkStart w:id="108" w:name="citei-c667"/>
      <w:r>
        <w:t>$5.8M</w:t>
      </w:r>
      <w:bookmarkEnd w:id="108"/>
      <w:r>
        <w:t xml:space="preserve"> of development and management fees stays in. A further </w:t>
      </w:r>
      <w:bookmarkStart w:id="109" w:name="citei-c668"/>
      <w:r>
        <w:t>$8.2M</w:t>
      </w:r>
      <w:bookmarkEnd w:id="109"/>
      <w:r>
        <w:t xml:space="preserve"> of power cost is absorbed rather than passed through.</w:t>
      </w:r>
    </w:p>
    <w:p>
      <w:pPr>
        <w:pStyle w:val="Heading2"/>
        <w:keepNext/>
        <w:spacing w:before="120" w:after="60"/>
      </w:pPr>
      <w:r>
        <w:t>Seller to buyer adjusted EBITDA, FY25</w:t>
      </w:r>
    </w:p>
    <w:tbl>
      <w:tblPr>
        <w:tblW w:w="9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
      <w:tblGrid>
        <w:gridCol w:w="1440"/>
        <w:gridCol w:w="1440"/>
        <w:gridCol w:w="1440"/>
        <w:gridCol w:w="1440"/>
      </w:tblGrid>
      <w:tr>
        <w:trPr>
          <w:tblHeader/>
        </w:trPr>
        <w:tc>
          <w:tcPr>
            <w:tcW w:w="3800" w:type="dxa"/>
            <w:tcBorders>
              <w:bottom w:val="single" w:color="D9D9D9" w:sz="4" w:space="0"/>
            </w:tcBorders>
            <w:shd w:val="clear" w:fill="F2F0EC"/>
            <w:tcMar>
              <w:left w:w="60" w:type="dxa"/>
              <w:right w:w="60" w:type="dxa"/>
            </w:tcMar>
          </w:tcPr>
          <w:p>
            <w:pPr>
              <w:spacing w:before="20" w:after="20"/>
              <w:rPr>
                <w:b/>
                <w:sz w:val="18"/>
              </w:rPr>
            </w:pPr>
            <w:r>
              <w:rPr>
                <w:b/>
                <w:sz w:val="18"/>
              </w:rPr>
              <w:t>$M</w:t>
            </w:r>
          </w:p>
        </w:tc>
        <w:tc>
          <w:tcPr>
            <w:tcW w:w="960" w:type="dxa"/>
            <w:tcBorders>
              <w:bottom w:val="single" w:color="D9D9D9" w:sz="4" w:space="0"/>
            </w:tcBorders>
            <w:shd w:val="clear" w:fill="F2F0EC"/>
            <w:tcMar>
              <w:left w:w="60" w:type="dxa"/>
              <w:right w:w="60" w:type="dxa"/>
            </w:tcMar>
          </w:tcPr>
          <w:p>
            <w:pPr>
              <w:spacing w:before="20" w:after="20"/>
              <w:jc w:val="right"/>
              <w:rPr>
                <w:b/>
                <w:sz w:val="18"/>
              </w:rPr>
            </w:pPr>
            <w:r>
              <w:rPr>
                <w:b/>
                <w:sz w:val="18"/>
              </w:rPr>
              <w:t>Seller</w:t>
            </w:r>
          </w:p>
        </w:tc>
        <w:tc>
          <w:tcPr>
            <w:tcW w:w="960" w:type="dxa"/>
            <w:tcBorders>
              <w:bottom w:val="single" w:color="D9D9D9" w:sz="4" w:space="0"/>
            </w:tcBorders>
            <w:shd w:val="clear" w:fill="F2F0EC"/>
            <w:tcMar>
              <w:left w:w="60" w:type="dxa"/>
              <w:right w:w="60" w:type="dxa"/>
            </w:tcMar>
          </w:tcPr>
          <w:p>
            <w:pPr>
              <w:spacing w:before="20" w:after="20"/>
              <w:jc w:val="right"/>
              <w:rPr>
                <w:b/>
                <w:sz w:val="18"/>
              </w:rPr>
            </w:pPr>
            <w:r>
              <w:rPr>
                <w:b/>
                <w:sz w:val="18"/>
              </w:rPr>
              <w:t>Buyer</w:t>
            </w:r>
          </w:p>
        </w:tc>
        <w:tc>
          <w:tcPr>
            <w:tcW w:w="4120" w:type="dxa"/>
            <w:tcBorders>
              <w:bottom w:val="single" w:color="D9D9D9" w:sz="4" w:space="0"/>
            </w:tcBorders>
            <w:shd w:val="clear" w:fill="F2F0EC"/>
            <w:tcMar>
              <w:left w:w="60" w:type="dxa"/>
              <w:right w:w="60" w:type="dxa"/>
            </w:tcMar>
          </w:tcPr>
          <w:p>
            <w:pPr>
              <w:spacing w:before="20" w:after="20"/>
              <w:rPr>
                <w:b/>
                <w:sz w:val="18"/>
              </w:rPr>
            </w:pPr>
            <w:r>
              <w:rPr>
                <w:b/>
                <w:sz w:val="18"/>
              </w:rPr>
              <w:t>Basis (document and page)</w:t>
            </w:r>
          </w:p>
        </w:tc>
      </w:tr>
      <w:tr>
        <w:tc>
          <w:tcPr>
            <w:tcW w:w="3800" w:type="dxa"/>
            <w:tcBorders>
              <w:bottom w:val="single" w:color="D9D9D9" w:sz="4" w:space="0"/>
            </w:tcBorders>
            <w:tcMar>
              <w:left w:w="60" w:type="dxa"/>
              <w:right w:w="60" w:type="dxa"/>
            </w:tcMar>
          </w:tcPr>
          <w:p>
            <w:pPr>
              <w:spacing w:before="20" w:after="20"/>
              <w:rPr>
                <w:sz w:val="18"/>
              </w:rPr>
            </w:pPr>
            <w:r>
              <w:rPr>
                <w:sz w:val="18"/>
              </w:rPr>
              <w:t>Reported EBITDA (net loss plus interest and D&amp;A)</w:t>
            </w:r>
          </w:p>
        </w:tc>
        <w:tc>
          <w:tcPr>
            <w:tcW w:w="960" w:type="dxa"/>
            <w:tcBorders>
              <w:bottom w:val="single" w:color="D9D9D9" w:sz="4" w:space="0"/>
            </w:tcBorders>
            <w:tcMar>
              <w:left w:w="60" w:type="dxa"/>
              <w:right w:w="60" w:type="dxa"/>
            </w:tcMar>
          </w:tcPr>
          <w:p>
            <w:pPr>
              <w:spacing w:before="20" w:after="20"/>
              <w:jc w:val="right"/>
              <w:rPr>
                <w:sz w:val="18"/>
              </w:rPr>
            </w:pPr>
            <w:bookmarkStart w:id="110" w:name="citei-c669"/>
            <w:r>
              <w:rPr>
                <w:sz w:val="18"/>
              </w:rPr>
              <w:t>219.1</w:t>
            </w:r>
            <w:bookmarkEnd w:id="110"/>
          </w:p>
        </w:tc>
        <w:tc>
          <w:tcPr>
            <w:tcW w:w="960" w:type="dxa"/>
            <w:tcBorders>
              <w:bottom w:val="single" w:color="D9D9D9" w:sz="4" w:space="0"/>
            </w:tcBorders>
            <w:tcMar>
              <w:left w:w="60" w:type="dxa"/>
              <w:right w:w="60" w:type="dxa"/>
            </w:tcMar>
          </w:tcPr>
          <w:p>
            <w:pPr>
              <w:spacing w:before="20" w:after="20"/>
              <w:jc w:val="right"/>
              <w:rPr>
                <w:sz w:val="18"/>
              </w:rPr>
            </w:pPr>
            <w:r>
              <w:rPr>
                <w:sz w:val="18"/>
              </w:rPr>
              <w:t>219.1</w:t>
            </w:r>
          </w:p>
        </w:tc>
        <w:tc>
          <w:tcPr>
            <w:tcW w:w="4120" w:type="dxa"/>
            <w:tcBorders>
              <w:bottom w:val="single" w:color="D9D9D9" w:sz="4" w:space="0"/>
            </w:tcBorders>
            <w:tcMar>
              <w:left w:w="60" w:type="dxa"/>
              <w:right w:w="60" w:type="dxa"/>
            </w:tcMar>
          </w:tcPr>
          <w:p>
            <w:pPr>
              <w:spacing w:before="20" w:after="20"/>
              <w:rPr>
                <w:sz w:val="18"/>
              </w:rPr>
            </w:pPr>
            <w:r>
              <w:rPr>
                <w:sz w:val="18"/>
              </w:rPr>
              <w:t>Audited FS FY25 (2.03) p4; QoE (11.04) p6</w:t>
            </w:r>
          </w:p>
        </w:tc>
      </w:tr>
      <w:tr>
        <w:tc>
          <w:tcPr>
            <w:tcW w:w="3800" w:type="dxa"/>
            <w:tcBorders>
              <w:bottom w:val="single" w:color="D9D9D9" w:sz="4" w:space="0"/>
            </w:tcBorders>
            <w:tcMar>
              <w:left w:w="60" w:type="dxa"/>
              <w:right w:w="60" w:type="dxa"/>
            </w:tcMar>
          </w:tcPr>
          <w:p>
            <w:pPr>
              <w:spacing w:before="20" w:after="20"/>
              <w:rPr>
                <w:sz w:val="18"/>
              </w:rPr>
            </w:pPr>
            <w:r>
              <w:rPr>
                <w:sz w:val="18"/>
              </w:rPr>
              <w:t>(+) Transaction and process costs</w:t>
            </w:r>
          </w:p>
        </w:tc>
        <w:tc>
          <w:tcPr>
            <w:tcW w:w="960" w:type="dxa"/>
            <w:tcBorders>
              <w:bottom w:val="single" w:color="D9D9D9" w:sz="4" w:space="0"/>
            </w:tcBorders>
            <w:tcMar>
              <w:left w:w="60" w:type="dxa"/>
              <w:right w:w="60" w:type="dxa"/>
            </w:tcMar>
          </w:tcPr>
          <w:p>
            <w:pPr>
              <w:spacing w:before="20" w:after="20"/>
              <w:jc w:val="right"/>
              <w:rPr>
                <w:sz w:val="18"/>
              </w:rPr>
            </w:pPr>
            <w:r>
              <w:rPr>
                <w:sz w:val="18"/>
              </w:rPr>
              <w:t>4.8</w:t>
            </w:r>
          </w:p>
        </w:tc>
        <w:tc>
          <w:tcPr>
            <w:tcW w:w="960" w:type="dxa"/>
            <w:tcBorders>
              <w:bottom w:val="single" w:color="D9D9D9" w:sz="4" w:space="0"/>
            </w:tcBorders>
            <w:tcMar>
              <w:left w:w="60" w:type="dxa"/>
              <w:right w:w="60" w:type="dxa"/>
            </w:tcMar>
          </w:tcPr>
          <w:p>
            <w:pPr>
              <w:spacing w:before="20" w:after="20"/>
              <w:jc w:val="right"/>
              <w:rPr>
                <w:sz w:val="18"/>
              </w:rPr>
            </w:pPr>
            <w:bookmarkStart w:id="111" w:name="citei-c670"/>
            <w:r>
              <w:rPr>
                <w:sz w:val="18"/>
              </w:rPr>
              <w:t>1.9</w:t>
            </w:r>
            <w:bookmarkEnd w:id="111"/>
          </w:p>
        </w:tc>
        <w:tc>
          <w:tcPr>
            <w:tcW w:w="4120" w:type="dxa"/>
            <w:tcBorders>
              <w:bottom w:val="single" w:color="D9D9D9" w:sz="4" w:space="0"/>
            </w:tcBorders>
            <w:tcMar>
              <w:left w:w="60" w:type="dxa"/>
              <w:right w:w="60" w:type="dxa"/>
            </w:tcMar>
          </w:tcPr>
          <w:p>
            <w:pPr>
              <w:spacing w:before="20" w:after="20"/>
              <w:rPr>
                <w:sz w:val="18"/>
              </w:rPr>
            </w:pPr>
            <w:r>
              <w:rPr>
                <w:sz w:val="18"/>
              </w:rPr>
              <w:t>Only Nov-Dec 2025 spend follows the Board's 19-Nov-25 authorization (2.05; 10.05 p1)</w:t>
            </w:r>
          </w:p>
        </w:tc>
      </w:tr>
      <w:tr>
        <w:tc>
          <w:tcPr>
            <w:tcW w:w="3800" w:type="dxa"/>
            <w:tcBorders>
              <w:bottom w:val="single" w:color="D9D9D9" w:sz="4" w:space="0"/>
            </w:tcBorders>
            <w:tcMar>
              <w:left w:w="60" w:type="dxa"/>
              <w:right w:w="60" w:type="dxa"/>
            </w:tcMar>
          </w:tcPr>
          <w:p>
            <w:pPr>
              <w:spacing w:before="20" w:after="20"/>
              <w:rPr>
                <w:sz w:val="18"/>
              </w:rPr>
            </w:pPr>
            <w:r>
              <w:rPr>
                <w:sz w:val="18"/>
              </w:rPr>
              <w:t>(+) Storm repair less recoveries and tax refund</w:t>
            </w:r>
          </w:p>
        </w:tc>
        <w:tc>
          <w:tcPr>
            <w:tcW w:w="960" w:type="dxa"/>
            <w:tcBorders>
              <w:bottom w:val="single" w:color="D9D9D9" w:sz="4" w:space="0"/>
            </w:tcBorders>
            <w:tcMar>
              <w:left w:w="60" w:type="dxa"/>
              <w:right w:w="60" w:type="dxa"/>
            </w:tcMar>
          </w:tcPr>
          <w:p>
            <w:pPr>
              <w:spacing w:before="20" w:after="20"/>
              <w:jc w:val="right"/>
              <w:rPr>
                <w:sz w:val="18"/>
              </w:rPr>
            </w:pPr>
            <w:r>
              <w:rPr>
                <w:sz w:val="18"/>
              </w:rPr>
              <w:t>(0.5)</w:t>
            </w:r>
          </w:p>
        </w:tc>
        <w:tc>
          <w:tcPr>
            <w:tcW w:w="960" w:type="dxa"/>
            <w:tcBorders>
              <w:bottom w:val="single" w:color="D9D9D9" w:sz="4" w:space="0"/>
            </w:tcBorders>
            <w:tcMar>
              <w:left w:w="60" w:type="dxa"/>
              <w:right w:w="60" w:type="dxa"/>
            </w:tcMar>
          </w:tcPr>
          <w:p>
            <w:pPr>
              <w:spacing w:before="20" w:after="20"/>
              <w:jc w:val="right"/>
              <w:rPr>
                <w:sz w:val="18"/>
              </w:rPr>
            </w:pPr>
            <w:r>
              <w:rPr>
                <w:sz w:val="18"/>
              </w:rPr>
              <w:t>(0.5)</w:t>
            </w:r>
          </w:p>
        </w:tc>
        <w:tc>
          <w:tcPr>
            <w:tcW w:w="4120" w:type="dxa"/>
            <w:tcBorders>
              <w:bottom w:val="single" w:color="D9D9D9" w:sz="4" w:space="0"/>
            </w:tcBorders>
            <w:tcMar>
              <w:left w:w="60" w:type="dxa"/>
              <w:right w:w="60" w:type="dxa"/>
            </w:tcMar>
          </w:tcPr>
          <w:p>
            <w:pPr>
              <w:spacing w:before="20" w:after="20"/>
              <w:rPr>
                <w:sz w:val="18"/>
              </w:rPr>
            </w:pPr>
            <w:r>
              <w:rPr>
                <w:sz w:val="18"/>
              </w:rPr>
              <w:t>QoE (11.04) p7</w:t>
            </w:r>
          </w:p>
        </w:tc>
      </w:tr>
      <w:tr>
        <w:tc>
          <w:tcPr>
            <w:tcW w:w="3800" w:type="dxa"/>
            <w:tcBorders>
              <w:bottom w:val="single" w:color="D9D9D9" w:sz="4" w:space="0"/>
            </w:tcBorders>
            <w:tcMar>
              <w:left w:w="60" w:type="dxa"/>
              <w:right w:w="60" w:type="dxa"/>
            </w:tcMar>
          </w:tcPr>
          <w:p>
            <w:pPr>
              <w:spacing w:before="20" w:after="20"/>
              <w:rPr>
                <w:sz w:val="18"/>
              </w:rPr>
            </w:pPr>
            <w:r>
              <w:rPr>
                <w:sz w:val="18"/>
              </w:rPr>
              <w:t>(+) Severance, two commercial roles</w:t>
            </w:r>
          </w:p>
        </w:tc>
        <w:tc>
          <w:tcPr>
            <w:tcW w:w="960" w:type="dxa"/>
            <w:tcBorders>
              <w:bottom w:val="single" w:color="D9D9D9" w:sz="4" w:space="0"/>
            </w:tcBorders>
            <w:tcMar>
              <w:left w:w="60" w:type="dxa"/>
              <w:right w:w="60" w:type="dxa"/>
            </w:tcMar>
          </w:tcPr>
          <w:p>
            <w:pPr>
              <w:spacing w:before="20" w:after="20"/>
              <w:jc w:val="right"/>
              <w:rPr>
                <w:sz w:val="18"/>
              </w:rPr>
            </w:pPr>
            <w:r>
              <w:rPr>
                <w:sz w:val="18"/>
              </w:rPr>
              <w:t>0.6</w:t>
            </w:r>
          </w:p>
        </w:tc>
        <w:tc>
          <w:tcPr>
            <w:tcW w:w="960" w:type="dxa"/>
            <w:tcBorders>
              <w:bottom w:val="single" w:color="D9D9D9" w:sz="4" w:space="0"/>
            </w:tcBorders>
            <w:tcMar>
              <w:left w:w="60" w:type="dxa"/>
              <w:right w:w="60" w:type="dxa"/>
            </w:tcMar>
          </w:tcPr>
          <w:p>
            <w:pPr>
              <w:spacing w:before="20" w:after="20"/>
              <w:jc w:val="right"/>
              <w:rPr>
                <w:sz w:val="18"/>
              </w:rPr>
            </w:pPr>
            <w:r>
              <w:rPr>
                <w:sz w:val="18"/>
              </w:rPr>
              <w:t>-</w:t>
            </w:r>
          </w:p>
        </w:tc>
        <w:tc>
          <w:tcPr>
            <w:tcW w:w="4120" w:type="dxa"/>
            <w:tcBorders>
              <w:bottom w:val="single" w:color="D9D9D9" w:sz="4" w:space="0"/>
            </w:tcBorders>
            <w:tcMar>
              <w:left w:w="60" w:type="dxa"/>
              <w:right w:w="60" w:type="dxa"/>
            </w:tcMar>
          </w:tcPr>
          <w:p>
            <w:pPr>
              <w:spacing w:before="20" w:after="20"/>
              <w:rPr>
                <w:sz w:val="18"/>
              </w:rPr>
            </w:pPr>
            <w:r>
              <w:rPr>
                <w:sz w:val="18"/>
              </w:rPr>
              <w:t>Rejected: roles being rehired (QoE p7)</w:t>
            </w:r>
          </w:p>
        </w:tc>
      </w:tr>
      <w:tr>
        <w:tc>
          <w:tcPr>
            <w:tcW w:w="3800" w:type="dxa"/>
            <w:tcBorders>
              <w:bottom w:val="single" w:color="D9D9D9" w:sz="4" w:space="0"/>
            </w:tcBorders>
            <w:tcMar>
              <w:left w:w="60" w:type="dxa"/>
              <w:right w:w="60" w:type="dxa"/>
            </w:tcMar>
          </w:tcPr>
          <w:p>
            <w:pPr>
              <w:spacing w:before="20" w:after="20"/>
              <w:rPr>
                <w:b/>
                <w:sz w:val="18"/>
              </w:rPr>
            </w:pPr>
            <w:r>
              <w:rPr>
                <w:b/>
                <w:sz w:val="18"/>
              </w:rPr>
              <w:t>Adjusted EBITDA, seller definition</w:t>
            </w:r>
          </w:p>
        </w:tc>
        <w:tc>
          <w:tcPr>
            <w:tcW w:w="960" w:type="dxa"/>
            <w:tcBorders>
              <w:bottom w:val="single" w:color="D9D9D9" w:sz="4" w:space="0"/>
            </w:tcBorders>
            <w:tcMar>
              <w:left w:w="60" w:type="dxa"/>
              <w:right w:w="60" w:type="dxa"/>
            </w:tcMar>
          </w:tcPr>
          <w:p>
            <w:pPr>
              <w:spacing w:before="20" w:after="20"/>
              <w:jc w:val="right"/>
              <w:rPr>
                <w:b/>
                <w:sz w:val="18"/>
              </w:rPr>
            </w:pPr>
            <w:bookmarkStart w:id="112" w:name="citei-c671"/>
            <w:r>
              <w:rPr>
                <w:b/>
                <w:sz w:val="18"/>
              </w:rPr>
              <w:t>224.0</w:t>
            </w:r>
            <w:bookmarkEnd w:id="112"/>
          </w:p>
        </w:tc>
        <w:tc>
          <w:tcPr>
            <w:tcW w:w="960" w:type="dxa"/>
            <w:tcBorders>
              <w:bottom w:val="single" w:color="D9D9D9" w:sz="4" w:space="0"/>
            </w:tcBorders>
            <w:tcMar>
              <w:left w:w="60" w:type="dxa"/>
              <w:right w:w="60" w:type="dxa"/>
            </w:tcMar>
          </w:tcPr>
          <w:p>
            <w:pPr>
              <w:spacing w:before="20" w:after="20"/>
              <w:jc w:val="right"/>
              <w:rPr>
                <w:b/>
                <w:sz w:val="18"/>
              </w:rPr>
            </w:pPr>
            <w:r>
              <w:rPr>
                <w:b/>
                <w:sz w:val="18"/>
              </w:rPr>
              <w:t>220.5</w:t>
            </w:r>
          </w:p>
        </w:tc>
        <w:tc>
          <w:tcPr>
            <w:tcW w:w="4120" w:type="dxa"/>
            <w:tcBorders>
              <w:bottom w:val="single" w:color="D9D9D9" w:sz="4" w:space="0"/>
            </w:tcBorders>
            <w:tcMar>
              <w:left w:w="60" w:type="dxa"/>
              <w:right w:w="60" w:type="dxa"/>
            </w:tcMar>
          </w:tcPr>
          <w:p>
            <w:pPr>
              <w:spacing w:before="20" w:after="20"/>
              <w:rPr>
                <w:b/>
                <w:sz w:val="18"/>
              </w:rPr>
            </w:pPr>
            <w:r>
              <w:rPr>
                <w:b/>
                <w:sz w:val="18"/>
              </w:rPr>
              <w:t/>
            </w:r>
          </w:p>
        </w:tc>
      </w:tr>
      <w:tr>
        <w:tc>
          <w:tcPr>
            <w:tcW w:w="3800" w:type="dxa"/>
            <w:tcBorders>
              <w:bottom w:val="single" w:color="D9D9D9" w:sz="4" w:space="0"/>
            </w:tcBorders>
            <w:tcMar>
              <w:left w:w="60" w:type="dxa"/>
              <w:right w:w="60" w:type="dxa"/>
            </w:tcMar>
          </w:tcPr>
          <w:p>
            <w:pPr>
              <w:spacing w:before="20" w:after="20"/>
              <w:rPr>
                <w:sz w:val="18"/>
              </w:rPr>
            </w:pPr>
            <w:r>
              <w:rPr>
                <w:sz w:val="18"/>
              </w:rPr>
              <w:t>(-) VPPA settlements and interest income</w:t>
            </w:r>
          </w:p>
        </w:tc>
        <w:tc>
          <w:tcPr>
            <w:tcW w:w="960" w:type="dxa"/>
            <w:tcBorders>
              <w:bottom w:val="single" w:color="D9D9D9" w:sz="4" w:space="0"/>
            </w:tcBorders>
            <w:tcMar>
              <w:left w:w="60" w:type="dxa"/>
              <w:right w:w="60" w:type="dxa"/>
            </w:tcMar>
          </w:tcPr>
          <w:p>
            <w:pPr>
              <w:spacing w:before="20" w:after="20"/>
              <w:jc w:val="right"/>
              <w:rPr>
                <w:sz w:val="18"/>
              </w:rPr>
            </w:pPr>
            <w:r>
              <w:rPr>
                <w:sz w:val="18"/>
              </w:rPr>
              <w:t/>
            </w:r>
          </w:p>
        </w:tc>
        <w:tc>
          <w:tcPr>
            <w:tcW w:w="960" w:type="dxa"/>
            <w:tcBorders>
              <w:bottom w:val="single" w:color="D9D9D9" w:sz="4" w:space="0"/>
            </w:tcBorders>
            <w:tcMar>
              <w:left w:w="60" w:type="dxa"/>
              <w:right w:w="60" w:type="dxa"/>
            </w:tcMar>
          </w:tcPr>
          <w:p>
            <w:pPr>
              <w:spacing w:before="20" w:after="20"/>
              <w:jc w:val="right"/>
              <w:rPr>
                <w:sz w:val="18"/>
              </w:rPr>
            </w:pPr>
            <w:bookmarkStart w:id="113" w:name="citei-c672"/>
            <w:r>
              <w:rPr>
                <w:sz w:val="18"/>
              </w:rPr>
              <w:t>(5.4)</w:t>
            </w:r>
            <w:bookmarkEnd w:id="113"/>
          </w:p>
        </w:tc>
        <w:tc>
          <w:tcPr>
            <w:tcW w:w="4120" w:type="dxa"/>
            <w:tcBorders>
              <w:bottom w:val="single" w:color="D9D9D9" w:sz="4" w:space="0"/>
            </w:tcBorders>
            <w:tcMar>
              <w:left w:w="60" w:type="dxa"/>
              <w:right w:w="60" w:type="dxa"/>
            </w:tcMar>
          </w:tcPr>
          <w:p>
            <w:pPr>
              <w:spacing w:before="20" w:after="20"/>
              <w:rPr>
                <w:sz w:val="18"/>
              </w:rPr>
            </w:pPr>
            <w:r>
              <w:rPr>
                <w:sz w:val="18"/>
              </w:rPr>
              <w:t>Audited FS FY25 (2.03) p14; Mgmt accounts (2.05); fees of 5.8 stay in</w:t>
            </w:r>
          </w:p>
        </w:tc>
      </w:tr>
      <w:tr>
        <w:tc>
          <w:tcPr>
            <w:tcW w:w="3800" w:type="dxa"/>
            <w:tcBorders>
              <w:bottom w:val="single" w:color="D9D9D9" w:sz="4" w:space="0"/>
            </w:tcBorders>
            <w:tcMar>
              <w:left w:w="60" w:type="dxa"/>
              <w:right w:w="60" w:type="dxa"/>
            </w:tcMar>
          </w:tcPr>
          <w:p>
            <w:pPr>
              <w:spacing w:before="20" w:after="20"/>
              <w:rPr>
                <w:b/>
                <w:sz w:val="18"/>
              </w:rPr>
            </w:pPr>
            <w:r>
              <w:rPr>
                <w:b/>
                <w:sz w:val="18"/>
              </w:rPr>
              <w:t>After add-back tests</w:t>
            </w:r>
          </w:p>
        </w:tc>
        <w:tc>
          <w:tcPr>
            <w:tcW w:w="960" w:type="dxa"/>
            <w:tcBorders>
              <w:bottom w:val="single" w:color="D9D9D9" w:sz="4" w:space="0"/>
            </w:tcBorders>
            <w:tcMar>
              <w:left w:w="60" w:type="dxa"/>
              <w:right w:w="60" w:type="dxa"/>
            </w:tcMar>
          </w:tcPr>
          <w:p>
            <w:pPr>
              <w:spacing w:before="20" w:after="20"/>
              <w:jc w:val="right"/>
              <w:rPr>
                <w:b/>
                <w:sz w:val="18"/>
              </w:rPr>
            </w:pPr>
            <w:r>
              <w:rPr>
                <w:b/>
                <w:sz w:val="18"/>
              </w:rPr>
              <w:t>224.0</w:t>
            </w:r>
          </w:p>
        </w:tc>
        <w:tc>
          <w:tcPr>
            <w:tcW w:w="960" w:type="dxa"/>
            <w:tcBorders>
              <w:bottom w:val="single" w:color="D9D9D9" w:sz="4" w:space="0"/>
            </w:tcBorders>
            <w:tcMar>
              <w:left w:w="60" w:type="dxa"/>
              <w:right w:w="60" w:type="dxa"/>
            </w:tcMar>
          </w:tcPr>
          <w:p>
            <w:pPr>
              <w:spacing w:before="20" w:after="20"/>
              <w:jc w:val="right"/>
              <w:rPr>
                <w:b/>
                <w:sz w:val="18"/>
              </w:rPr>
            </w:pPr>
            <w:bookmarkStart w:id="114" w:name="citei-c673"/>
            <w:r>
              <w:rPr>
                <w:b/>
                <w:sz w:val="18"/>
              </w:rPr>
              <w:t>215.1</w:t>
            </w:r>
            <w:bookmarkEnd w:id="114"/>
          </w:p>
        </w:tc>
        <w:tc>
          <w:tcPr>
            <w:tcW w:w="4120" w:type="dxa"/>
            <w:tcBorders>
              <w:bottom w:val="single" w:color="D9D9D9" w:sz="4" w:space="0"/>
            </w:tcBorders>
            <w:tcMar>
              <w:left w:w="60" w:type="dxa"/>
              <w:right w:w="60" w:type="dxa"/>
            </w:tcMar>
          </w:tcPr>
          <w:p>
            <w:pPr>
              <w:spacing w:before="20" w:after="20"/>
              <w:rPr>
                <w:b/>
                <w:sz w:val="18"/>
              </w:rPr>
            </w:pPr>
            <w:r>
              <w:rPr>
                <w:b/>
                <w:sz w:val="18"/>
              </w:rPr>
              <w:t/>
            </w:r>
          </w:p>
        </w:tc>
      </w:tr>
      <w:tr>
        <w:tc>
          <w:tcPr>
            <w:tcW w:w="3800" w:type="dxa"/>
            <w:tcBorders>
              <w:bottom w:val="single" w:color="D9D9D9" w:sz="4" w:space="0"/>
            </w:tcBorders>
            <w:tcMar>
              <w:left w:w="60" w:type="dxa"/>
              <w:right w:w="60" w:type="dxa"/>
            </w:tcMar>
          </w:tcPr>
          <w:p>
            <w:pPr>
              <w:spacing w:before="20" w:after="20"/>
              <w:rPr>
                <w:sz w:val="18"/>
              </w:rPr>
            </w:pPr>
            <w:r>
              <w:rPr>
                <w:sz w:val="18"/>
              </w:rPr>
              <w:t>(-) Power cost not recovered from tenants</w:t>
            </w:r>
          </w:p>
        </w:tc>
        <w:tc>
          <w:tcPr>
            <w:tcW w:w="960" w:type="dxa"/>
            <w:tcBorders>
              <w:bottom w:val="single" w:color="D9D9D9" w:sz="4" w:space="0"/>
            </w:tcBorders>
            <w:tcMar>
              <w:left w:w="60" w:type="dxa"/>
              <w:right w:w="60" w:type="dxa"/>
            </w:tcMar>
          </w:tcPr>
          <w:p>
            <w:pPr>
              <w:spacing w:before="20" w:after="20"/>
              <w:jc w:val="right"/>
              <w:rPr>
                <w:sz w:val="18"/>
              </w:rPr>
            </w:pPr>
            <w:r>
              <w:rPr>
                <w:sz w:val="18"/>
              </w:rPr>
              <w:t/>
            </w:r>
          </w:p>
        </w:tc>
        <w:tc>
          <w:tcPr>
            <w:tcW w:w="960" w:type="dxa"/>
            <w:tcBorders>
              <w:bottom w:val="single" w:color="D9D9D9" w:sz="4" w:space="0"/>
            </w:tcBorders>
            <w:tcMar>
              <w:left w:w="60" w:type="dxa"/>
              <w:right w:w="60" w:type="dxa"/>
            </w:tcMar>
          </w:tcPr>
          <w:p>
            <w:pPr>
              <w:spacing w:before="20" w:after="20"/>
              <w:jc w:val="right"/>
              <w:rPr>
                <w:sz w:val="18"/>
              </w:rPr>
            </w:pPr>
            <w:bookmarkStart w:id="115" w:name="citei-c674"/>
            <w:r>
              <w:rPr>
                <w:sz w:val="18"/>
              </w:rPr>
              <w:t>(8.2)</w:t>
            </w:r>
            <w:bookmarkEnd w:id="115"/>
          </w:p>
        </w:tc>
        <w:tc>
          <w:tcPr>
            <w:tcW w:w="4120" w:type="dxa"/>
            <w:tcBorders>
              <w:bottom w:val="single" w:color="D9D9D9" w:sz="4" w:space="0"/>
            </w:tcBorders>
            <w:tcMar>
              <w:left w:w="60" w:type="dxa"/>
              <w:right w:w="60" w:type="dxa"/>
            </w:tcMar>
          </w:tcPr>
          <w:p>
            <w:pPr>
              <w:spacing w:before="20" w:after="20"/>
              <w:rPr>
                <w:sz w:val="18"/>
              </w:rPr>
            </w:pPr>
            <w:r>
              <w:rPr>
                <w:sz w:val="18"/>
              </w:rPr>
              <w:t>Power interval data (6.04); Power cost analysis (3.07)</w:t>
            </w:r>
          </w:p>
        </w:tc>
      </w:tr>
      <w:tr>
        <w:tc>
          <w:tcPr>
            <w:tcW w:w="3800" w:type="dxa"/>
            <w:tcBorders>
              <w:bottom w:val="single" w:color="D9D9D9" w:sz="4" w:space="0"/>
            </w:tcBorders>
            <w:tcMar>
              <w:left w:w="60" w:type="dxa"/>
              <w:right w:w="60" w:type="dxa"/>
            </w:tcMar>
          </w:tcPr>
          <w:p>
            <w:pPr>
              <w:spacing w:before="20" w:after="20"/>
              <w:rPr>
                <w:b/>
                <w:sz w:val="18"/>
              </w:rPr>
            </w:pPr>
            <w:r>
              <w:rPr>
                <w:b/>
                <w:sz w:val="18"/>
              </w:rPr>
              <w:t>Buyer adjusted EBITDA</w:t>
            </w:r>
          </w:p>
        </w:tc>
        <w:tc>
          <w:tcPr>
            <w:tcW w:w="960" w:type="dxa"/>
            <w:tcBorders>
              <w:bottom w:val="single" w:color="D9D9D9" w:sz="4" w:space="0"/>
            </w:tcBorders>
            <w:tcMar>
              <w:left w:w="60" w:type="dxa"/>
              <w:right w:w="60" w:type="dxa"/>
            </w:tcMar>
          </w:tcPr>
          <w:p>
            <w:pPr>
              <w:spacing w:before="20" w:after="20"/>
              <w:jc w:val="right"/>
              <w:rPr>
                <w:b/>
                <w:sz w:val="18"/>
              </w:rPr>
            </w:pPr>
            <w:r>
              <w:rPr>
                <w:b/>
                <w:sz w:val="18"/>
              </w:rPr>
              <w:t>224.0</w:t>
            </w:r>
          </w:p>
        </w:tc>
        <w:tc>
          <w:tcPr>
            <w:tcW w:w="960" w:type="dxa"/>
            <w:tcBorders>
              <w:bottom w:val="single" w:color="D9D9D9" w:sz="4" w:space="0"/>
            </w:tcBorders>
            <w:tcMar>
              <w:left w:w="60" w:type="dxa"/>
              <w:right w:w="60" w:type="dxa"/>
            </w:tcMar>
          </w:tcPr>
          <w:p>
            <w:pPr>
              <w:spacing w:before="20" w:after="20"/>
              <w:jc w:val="right"/>
              <w:rPr>
                <w:b/>
                <w:sz w:val="18"/>
              </w:rPr>
            </w:pPr>
            <w:bookmarkStart w:id="116" w:name="citei-c675"/>
            <w:r>
              <w:rPr>
                <w:b/>
                <w:sz w:val="18"/>
              </w:rPr>
              <w:t>206.9</w:t>
            </w:r>
            <w:bookmarkEnd w:id="116"/>
          </w:p>
        </w:tc>
        <w:tc>
          <w:tcPr>
            <w:tcW w:w="4120" w:type="dxa"/>
            <w:tcBorders>
              <w:bottom w:val="single" w:color="D9D9D9" w:sz="4" w:space="0"/>
            </w:tcBorders>
            <w:tcMar>
              <w:left w:w="60" w:type="dxa"/>
              <w:right w:w="60" w:type="dxa"/>
            </w:tcMar>
          </w:tcPr>
          <w:p>
            <w:pPr>
              <w:spacing w:before="20" w:after="20"/>
              <w:rPr>
                <w:b/>
                <w:sz w:val="18"/>
              </w:rPr>
            </w:pPr>
            <w:r>
              <w:rPr>
                <w:b/>
                <w:sz w:val="18"/>
              </w:rPr>
              <w:t xml:space="preserve">LTM Mar-26 </w:t>
            </w:r>
            <w:bookmarkStart w:id="117" w:name="citei-c676"/>
            <w:r>
              <w:rPr>
                <w:b/>
                <w:sz w:val="18"/>
              </w:rPr>
              <w:t>217.9</w:t>
            </w:r>
            <w:bookmarkEnd w:id="117"/>
            <w:r>
              <w:rPr>
                <w:b/>
                <w:sz w:val="18"/>
              </w:rPr>
              <w:t xml:space="preserve">; cash basis </w:t>
            </w:r>
            <w:bookmarkStart w:id="118" w:name="citei-c677"/>
            <w:r>
              <w:rPr>
                <w:b/>
                <w:sz w:val="18"/>
              </w:rPr>
              <w:t>198.5</w:t>
            </w:r>
            <w:bookmarkEnd w:id="118"/>
          </w:p>
        </w:tc>
      </w:tr>
    </w:tbl>
    <w:p>
      <w:pPr>
        <w:spacing w:after="40"/>
      </w:pPr>
      <w:r>
        <w:t/>
      </w:r>
    </w:p>
    <w:p>
      <w:pPr>
        <w:pStyle w:val="Normal"/>
        <w:spacing w:before="0" w:after="100"/>
      </w:pPr>
      <w:r>
        <w:t xml:space="preserve">The other findings, and how the price treats them. EV effects use the </w:t>
      </w:r>
      <w:bookmarkStart w:id="119" w:name="citei-c678"/>
      <w:r>
        <w:t>19.2x</w:t>
      </w:r>
      <w:bookmarkEnd w:id="119"/>
      <w:r>
        <w:t xml:space="preserve"> reference multiple.</w:t>
      </w:r>
    </w:p>
    <w:tbl>
      <w:tblPr>
        <w:tblW w:w="9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
      <w:tblGrid>
        <w:gridCol w:w="1440"/>
        <w:gridCol w:w="1440"/>
        <w:gridCol w:w="1440"/>
        <w:gridCol w:w="1440"/>
      </w:tblGrid>
      <w:tr>
        <w:trPr>
          <w:tblHeader/>
        </w:trPr>
        <w:tc>
          <w:tcPr>
            <w:tcW w:w="1600" w:type="dxa"/>
            <w:tcBorders>
              <w:bottom w:val="single" w:color="D9D9D9" w:sz="4" w:space="0"/>
            </w:tcBorders>
            <w:shd w:val="clear" w:fill="F2F0EC"/>
            <w:tcMar>
              <w:left w:w="60" w:type="dxa"/>
              <w:right w:w="60" w:type="dxa"/>
            </w:tcMar>
          </w:tcPr>
          <w:p>
            <w:pPr>
              <w:spacing w:before="20" w:after="20"/>
              <w:rPr>
                <w:b/>
                <w:sz w:val="17"/>
              </w:rPr>
            </w:pPr>
            <w:r>
              <w:rPr>
                <w:b/>
                <w:sz w:val="17"/>
              </w:rPr>
              <w:t>Finding</w:t>
            </w:r>
          </w:p>
        </w:tc>
        <w:tc>
          <w:tcPr>
            <w:tcW w:w="5440" w:type="dxa"/>
            <w:tcBorders>
              <w:bottom w:val="single" w:color="D9D9D9" w:sz="4" w:space="0"/>
            </w:tcBorders>
            <w:shd w:val="clear" w:fill="F2F0EC"/>
            <w:tcMar>
              <w:left w:w="60" w:type="dxa"/>
              <w:right w:w="60" w:type="dxa"/>
            </w:tcMar>
          </w:tcPr>
          <w:p>
            <w:pPr>
              <w:spacing w:before="20" w:after="20"/>
              <w:rPr>
                <w:b/>
                <w:sz w:val="17"/>
              </w:rPr>
            </w:pPr>
            <w:r>
              <w:rPr>
                <w:b/>
                <w:sz w:val="17"/>
              </w:rPr>
              <w:t>What the room shows (document and page)</w:t>
            </w:r>
          </w:p>
        </w:tc>
        <w:tc>
          <w:tcPr>
            <w:tcW w:w="1240" w:type="dxa"/>
            <w:tcBorders>
              <w:bottom w:val="single" w:color="D9D9D9" w:sz="4" w:space="0"/>
            </w:tcBorders>
            <w:shd w:val="clear" w:fill="F2F0EC"/>
            <w:tcMar>
              <w:left w:w="60" w:type="dxa"/>
              <w:right w:w="60" w:type="dxa"/>
            </w:tcMar>
          </w:tcPr>
          <w:p>
            <w:pPr>
              <w:spacing w:before="20" w:after="20"/>
              <w:jc w:val="right"/>
              <w:rPr>
                <w:b/>
                <w:sz w:val="17"/>
              </w:rPr>
            </w:pPr>
            <w:r>
              <w:rPr>
                <w:b/>
                <w:sz w:val="17"/>
              </w:rPr>
              <w:t>EV effect</w:t>
            </w:r>
          </w:p>
        </w:tc>
        <w:tc>
          <w:tcPr>
            <w:tcW w:w="1560" w:type="dxa"/>
            <w:tcBorders>
              <w:bottom w:val="single" w:color="D9D9D9" w:sz="4" w:space="0"/>
            </w:tcBorders>
            <w:shd w:val="clear" w:fill="F2F0EC"/>
            <w:tcMar>
              <w:left w:w="60" w:type="dxa"/>
              <w:right w:w="60" w:type="dxa"/>
            </w:tcMar>
          </w:tcPr>
          <w:p>
            <w:pPr>
              <w:spacing w:before="20" w:after="20"/>
              <w:rPr>
                <w:b/>
                <w:sz w:val="17"/>
              </w:rPr>
            </w:pPr>
            <w:r>
              <w:rPr>
                <w:b/>
                <w:sz w:val="17"/>
              </w:rPr>
              <w:t>Treatment</w:t>
            </w:r>
          </w:p>
        </w:tc>
      </w:tr>
      <w:tr>
        <w:tc>
          <w:tcPr>
            <w:tcW w:w="1600" w:type="dxa"/>
            <w:tcBorders>
              <w:bottom w:val="single" w:color="D9D9D9" w:sz="4" w:space="0"/>
            </w:tcBorders>
            <w:tcMar>
              <w:left w:w="60" w:type="dxa"/>
              <w:right w:w="60" w:type="dxa"/>
            </w:tcMar>
          </w:tcPr>
          <w:p>
            <w:pPr>
              <w:spacing w:before="20" w:after="20"/>
              <w:rPr>
                <w:sz w:val="17"/>
              </w:rPr>
            </w:pPr>
            <w:r>
              <w:rPr>
                <w:sz w:val="17"/>
              </w:rPr>
              <w:t>Earnings quality</w:t>
            </w:r>
          </w:p>
        </w:tc>
        <w:tc>
          <w:tcPr>
            <w:tcW w:w="5440" w:type="dxa"/>
            <w:tcBorders>
              <w:bottom w:val="single" w:color="D9D9D9" w:sz="4" w:space="0"/>
            </w:tcBorders>
            <w:tcMar>
              <w:left w:w="60" w:type="dxa"/>
              <w:right w:w="60" w:type="dxa"/>
            </w:tcMar>
          </w:tcPr>
          <w:p>
            <w:pPr>
              <w:spacing w:before="20" w:after="20"/>
              <w:rPr>
                <w:sz w:val="17"/>
              </w:rPr>
            </w:pPr>
            <w:r>
              <w:rPr>
                <w:sz w:val="17"/>
              </w:rPr>
              <w:t xml:space="preserve">Pre-process costs, rejected severance, VPPA gains and interest income: $8.9M of the seller's </w:t>
            </w:r>
            <w:bookmarkStart w:id="120" w:name="citei-c679"/>
            <w:r>
              <w:rPr>
                <w:sz w:val="17"/>
              </w:rPr>
              <w:t>$224.0M</w:t>
            </w:r>
            <w:bookmarkEnd w:id="120"/>
            <w:r>
              <w:rPr>
                <w:sz w:val="17"/>
              </w:rPr>
              <w:t xml:space="preserve"> (bridge above).</w:t>
            </w:r>
          </w:p>
        </w:tc>
        <w:tc>
          <w:tcPr>
            <w:tcW w:w="1240" w:type="dxa"/>
            <w:tcBorders>
              <w:bottom w:val="single" w:color="D9D9D9" w:sz="4" w:space="0"/>
            </w:tcBorders>
            <w:tcMar>
              <w:left w:w="60" w:type="dxa"/>
              <w:right w:w="60" w:type="dxa"/>
            </w:tcMar>
          </w:tcPr>
          <w:p>
            <w:pPr>
              <w:spacing w:before="20" w:after="20"/>
              <w:jc w:val="right"/>
              <w:rPr>
                <w:sz w:val="17"/>
              </w:rPr>
            </w:pPr>
            <w:bookmarkStart w:id="121" w:name="citei-c680"/>
            <w:r>
              <w:rPr>
                <w:sz w:val="17"/>
              </w:rPr>
              <w:t>($172M)</w:t>
            </w:r>
            <w:bookmarkEnd w:id="121"/>
          </w:p>
        </w:tc>
        <w:tc>
          <w:tcPr>
            <w:tcW w:w="1560" w:type="dxa"/>
            <w:tcBorders>
              <w:bottom w:val="single" w:color="D9D9D9" w:sz="4" w:space="0"/>
            </w:tcBorders>
            <w:tcMar>
              <w:left w:w="60" w:type="dxa"/>
              <w:right w:w="60" w:type="dxa"/>
            </w:tcMar>
          </w:tcPr>
          <w:p>
            <w:pPr>
              <w:spacing w:before="20" w:after="20"/>
              <w:rPr>
                <w:sz w:val="17"/>
              </w:rPr>
            </w:pPr>
            <w:r>
              <w:rPr>
                <w:sz w:val="17"/>
              </w:rPr>
              <w:t>In price</w:t>
            </w:r>
          </w:p>
        </w:tc>
      </w:tr>
      <w:tr>
        <w:tc>
          <w:tcPr>
            <w:tcW w:w="1600" w:type="dxa"/>
            <w:tcBorders>
              <w:bottom w:val="single" w:color="D9D9D9" w:sz="4" w:space="0"/>
            </w:tcBorders>
            <w:tcMar>
              <w:left w:w="60" w:type="dxa"/>
              <w:right w:w="60" w:type="dxa"/>
            </w:tcMar>
          </w:tcPr>
          <w:p>
            <w:pPr>
              <w:spacing w:before="20" w:after="20"/>
              <w:rPr>
                <w:sz w:val="17"/>
              </w:rPr>
            </w:pPr>
            <w:r>
              <w:rPr>
                <w:sz w:val="17"/>
              </w:rPr>
              <w:t>Power pass-through</w:t>
            </w:r>
          </w:p>
        </w:tc>
        <w:tc>
          <w:tcPr>
            <w:tcW w:w="5440" w:type="dxa"/>
            <w:tcBorders>
              <w:bottom w:val="single" w:color="D9D9D9" w:sz="4" w:space="0"/>
            </w:tcBorders>
            <w:tcMar>
              <w:left w:w="60" w:type="dxa"/>
              <w:right w:w="60" w:type="dxa"/>
            </w:tcMar>
          </w:tcPr>
          <w:p>
            <w:pPr>
              <w:spacing w:before="20" w:after="20"/>
              <w:rPr>
                <w:sz w:val="17"/>
              </w:rPr>
            </w:pPr>
            <w:r>
              <w:rPr>
                <w:sz w:val="17"/>
              </w:rPr>
              <w:t xml:space="preserve">The CIM calls wholesale leases triple-net with </w:t>
            </w:r>
            <w:bookmarkStart w:id="122" w:name="citei-c681"/>
            <w:r>
              <w:rPr>
                <w:sz w:val="17"/>
              </w:rPr>
              <w:t>$84.2M</w:t>
            </w:r>
            <w:bookmarkEnd w:id="122"/>
            <w:r>
              <w:rPr>
                <w:sz w:val="17"/>
              </w:rPr>
              <w:t xml:space="preserve"> of power recovered at cost; interval data put FY25 utility cost at </w:t>
            </w:r>
            <w:bookmarkStart w:id="123" w:name="citei-c682"/>
            <w:r>
              <w:rPr>
                <w:sz w:val="17"/>
              </w:rPr>
              <w:t>$92.4M</w:t>
            </w:r>
            <w:bookmarkEnd w:id="123"/>
            <w:r>
              <w:rPr>
                <w:sz w:val="17"/>
              </w:rPr>
              <w:t>, so about $8.2M a year is absorbed (CIM p23; 6.04; Rate card 4.04 p2).</w:t>
            </w:r>
          </w:p>
        </w:tc>
        <w:tc>
          <w:tcPr>
            <w:tcW w:w="1240" w:type="dxa"/>
            <w:tcBorders>
              <w:bottom w:val="single" w:color="D9D9D9" w:sz="4" w:space="0"/>
            </w:tcBorders>
            <w:tcMar>
              <w:left w:w="60" w:type="dxa"/>
              <w:right w:w="60" w:type="dxa"/>
            </w:tcMar>
          </w:tcPr>
          <w:p>
            <w:pPr>
              <w:spacing w:before="20" w:after="20"/>
              <w:jc w:val="right"/>
              <w:rPr>
                <w:sz w:val="17"/>
              </w:rPr>
            </w:pPr>
            <w:bookmarkStart w:id="124" w:name="citei-c683"/>
            <w:r>
              <w:rPr>
                <w:sz w:val="17"/>
              </w:rPr>
              <w:t>($157M)</w:t>
            </w:r>
            <w:bookmarkEnd w:id="124"/>
          </w:p>
        </w:tc>
        <w:tc>
          <w:tcPr>
            <w:tcW w:w="1560" w:type="dxa"/>
            <w:tcBorders>
              <w:bottom w:val="single" w:color="D9D9D9" w:sz="4" w:space="0"/>
            </w:tcBorders>
            <w:tcMar>
              <w:left w:w="60" w:type="dxa"/>
              <w:right w:w="60" w:type="dxa"/>
            </w:tcMar>
          </w:tcPr>
          <w:p>
            <w:pPr>
              <w:spacing w:before="20" w:after="20"/>
              <w:rPr>
                <w:sz w:val="17"/>
              </w:rPr>
            </w:pPr>
            <w:r>
              <w:rPr>
                <w:sz w:val="17"/>
              </w:rPr>
              <w:t>In price; upside if recovery is documented</w:t>
            </w:r>
          </w:p>
        </w:tc>
      </w:tr>
      <w:tr>
        <w:tc>
          <w:tcPr>
            <w:tcW w:w="1600" w:type="dxa"/>
            <w:tcBorders>
              <w:bottom w:val="single" w:color="D9D9D9" w:sz="4" w:space="0"/>
            </w:tcBorders>
            <w:tcMar>
              <w:left w:w="60" w:type="dxa"/>
              <w:right w:w="60" w:type="dxa"/>
            </w:tcMar>
          </w:tcPr>
          <w:p>
            <w:pPr>
              <w:spacing w:before="20" w:after="20"/>
              <w:rPr>
                <w:sz w:val="17"/>
              </w:rPr>
            </w:pPr>
            <w:r>
              <w:rPr>
                <w:sz w:val="17"/>
              </w:rPr>
              <w:t>Contracted term †</w:t>
            </w:r>
          </w:p>
        </w:tc>
        <w:tc>
          <w:tcPr>
            <w:tcW w:w="5440" w:type="dxa"/>
            <w:tcBorders>
              <w:bottom w:val="single" w:color="D9D9D9" w:sz="4" w:space="0"/>
            </w:tcBorders>
            <w:tcMar>
              <w:left w:w="60" w:type="dxa"/>
              <w:right w:w="60" w:type="dxa"/>
            </w:tcMar>
          </w:tcPr>
          <w:p>
            <w:pPr>
              <w:spacing w:before="20" w:after="20"/>
              <w:rPr>
                <w:sz w:val="17"/>
              </w:rPr>
            </w:pPr>
            <w:r>
              <w:rPr>
                <w:sz w:val="17"/>
              </w:rPr>
              <w:t xml:space="preserve">Executed hyperscale leases expire 2028 to 2032 while the rent roll shows 2034 to 2037, with no amendments in the room. Portfolio WALT on executed terms is </w:t>
            </w:r>
            <w:bookmarkStart w:id="125" w:name="citei-c684"/>
            <w:r>
              <w:rPr>
                <w:sz w:val="17"/>
              </w:rPr>
              <w:t>about 4.0 years</w:t>
            </w:r>
            <w:bookmarkEnd w:id="125"/>
            <w:r>
              <w:rPr>
                <w:sz w:val="17"/>
              </w:rPr>
              <w:t xml:space="preserve"> against 6.9 in the CIM; about </w:t>
            </w:r>
            <w:bookmarkStart w:id="126" w:name="citei-c685"/>
            <w:r>
              <w:rPr>
                <w:sz w:val="17"/>
              </w:rPr>
              <w:t>31.8 MW and $44M</w:t>
            </w:r>
            <w:bookmarkEnd w:id="126"/>
            <w:r>
              <w:rPr>
                <w:sz w:val="17"/>
              </w:rPr>
              <w:t xml:space="preserve"> of ABR roll by FY28. </w:t>
            </w:r>
            <w:bookmarkStart w:id="127" w:name="citei-c686"/>
            <w:r>
              <w:rPr>
                <w:sz w:val="17"/>
              </w:rPr>
              <w:t>The executed agreements control</w:t>
            </w:r>
            <w:bookmarkEnd w:id="127"/>
            <w:r>
              <w:rPr>
                <w:sz w:val="17"/>
              </w:rPr>
              <w:t xml:space="preserve"> (Clean team protocol 00.00 p1).</w:t>
            </w:r>
          </w:p>
        </w:tc>
        <w:tc>
          <w:tcPr>
            <w:tcW w:w="1240" w:type="dxa"/>
            <w:tcBorders>
              <w:bottom w:val="single" w:color="D9D9D9" w:sz="4" w:space="0"/>
            </w:tcBorders>
            <w:tcMar>
              <w:left w:w="60" w:type="dxa"/>
              <w:right w:w="60" w:type="dxa"/>
            </w:tcMar>
          </w:tcPr>
          <w:p>
            <w:pPr>
              <w:spacing w:before="20" w:after="20"/>
              <w:jc w:val="right"/>
              <w:rPr>
                <w:sz w:val="17"/>
              </w:rPr>
            </w:pPr>
            <w:bookmarkStart w:id="128" w:name="citei-c687"/>
            <w:r>
              <w:rPr>
                <w:sz w:val="17"/>
              </w:rPr>
              <w:t>($233M)</w:t>
            </w:r>
            <w:bookmarkEnd w:id="128"/>
          </w:p>
        </w:tc>
        <w:tc>
          <w:tcPr>
            <w:tcW w:w="1560" w:type="dxa"/>
            <w:tcBorders>
              <w:bottom w:val="single" w:color="D9D9D9" w:sz="4" w:space="0"/>
            </w:tcBorders>
            <w:tcMar>
              <w:left w:w="60" w:type="dxa"/>
              <w:right w:w="60" w:type="dxa"/>
            </w:tcMar>
          </w:tcPr>
          <w:p>
            <w:pPr>
              <w:spacing w:before="20" w:after="20"/>
              <w:rPr>
                <w:sz w:val="17"/>
              </w:rPr>
            </w:pPr>
            <w:r>
              <w:rPr>
                <w:sz w:val="17"/>
              </w:rPr>
              <w:t>Multiple discount of 0.75x to 1.5x</w:t>
            </w:r>
          </w:p>
        </w:tc>
      </w:tr>
      <w:tr>
        <w:tc>
          <w:tcPr>
            <w:tcW w:w="1600" w:type="dxa"/>
            <w:tcBorders>
              <w:bottom w:val="single" w:color="D9D9D9" w:sz="4" w:space="0"/>
            </w:tcBorders>
            <w:tcMar>
              <w:left w:w="60" w:type="dxa"/>
              <w:right w:w="60" w:type="dxa"/>
            </w:tcMar>
          </w:tcPr>
          <w:p>
            <w:pPr>
              <w:spacing w:before="20" w:after="20"/>
              <w:rPr>
                <w:sz w:val="17"/>
              </w:rPr>
            </w:pPr>
            <w:r>
              <w:rPr>
                <w:sz w:val="17"/>
              </w:rPr>
              <w:t>Hyperscale pricing</w:t>
            </w:r>
          </w:p>
        </w:tc>
        <w:tc>
          <w:tcPr>
            <w:tcW w:w="5440" w:type="dxa"/>
            <w:tcBorders>
              <w:bottom w:val="single" w:color="D9D9D9" w:sz="4" w:space="0"/>
            </w:tcBorders>
            <w:tcMar>
              <w:left w:w="60" w:type="dxa"/>
              <w:right w:w="60" w:type="dxa"/>
            </w:tcMar>
          </w:tcPr>
          <w:p>
            <w:pPr>
              <w:spacing w:before="20" w:after="20"/>
              <w:rPr>
                <w:sz w:val="17"/>
              </w:rPr>
            </w:pPr>
            <w:r>
              <w:rPr>
                <w:sz w:val="17"/>
              </w:rPr>
              <w:t xml:space="preserve">Recent hyperscale deals and LOIs price at </w:t>
            </w:r>
            <w:bookmarkStart w:id="129" w:name="citei-c688"/>
            <w:r>
              <w:rPr>
                <w:sz w:val="17"/>
              </w:rPr>
              <w:t>$111.8/kW/mo</w:t>
            </w:r>
            <w:bookmarkEnd w:id="129"/>
            <w:r>
              <w:rPr>
                <w:sz w:val="17"/>
              </w:rPr>
              <w:t xml:space="preserve"> against $116.0 in place, not the </w:t>
            </w:r>
            <w:bookmarkStart w:id="130" w:name="citei-c689"/>
            <w:r>
              <w:rPr>
                <w:sz w:val="17"/>
              </w:rPr>
              <w:t>+13%</w:t>
            </w:r>
            <w:bookmarkEnd w:id="130"/>
            <w:r>
              <w:rPr>
                <w:sz w:val="17"/>
              </w:rPr>
              <w:t xml:space="preserve"> mark-to-market the CIM and market study cite (4.03; 3.02; Market VDD 11.05 p3).</w:t>
            </w:r>
          </w:p>
        </w:tc>
        <w:tc>
          <w:tcPr>
            <w:tcW w:w="1240" w:type="dxa"/>
            <w:tcBorders>
              <w:bottom w:val="single" w:color="D9D9D9" w:sz="4" w:space="0"/>
            </w:tcBorders>
            <w:tcMar>
              <w:left w:w="60" w:type="dxa"/>
              <w:right w:w="60" w:type="dxa"/>
            </w:tcMar>
          </w:tcPr>
          <w:p>
            <w:pPr>
              <w:spacing w:before="20" w:after="20"/>
              <w:jc w:val="right"/>
              <w:rPr>
                <w:sz w:val="17"/>
              </w:rPr>
            </w:pPr>
            <w:r>
              <w:rPr>
                <w:sz w:val="17"/>
              </w:rPr>
              <w:t>Not credited</w:t>
            </w:r>
          </w:p>
        </w:tc>
        <w:tc>
          <w:tcPr>
            <w:tcW w:w="1560" w:type="dxa"/>
            <w:tcBorders>
              <w:bottom w:val="single" w:color="D9D9D9" w:sz="4" w:space="0"/>
            </w:tcBorders>
            <w:tcMar>
              <w:left w:w="60" w:type="dxa"/>
              <w:right w:w="60" w:type="dxa"/>
            </w:tcMar>
          </w:tcPr>
          <w:p>
            <w:pPr>
              <w:spacing w:before="20" w:after="20"/>
              <w:rPr>
                <w:sz w:val="17"/>
              </w:rPr>
            </w:pPr>
            <w:r>
              <w:rPr>
                <w:sz w:val="17"/>
              </w:rPr>
              <w:t xml:space="preserve">Renewal roll-down of </w:t>
            </w:r>
            <w:bookmarkStart w:id="131" w:name="citei-c690"/>
            <w:r>
              <w:rPr>
                <w:sz w:val="17"/>
              </w:rPr>
              <w:t>$3.7M</w:t>
            </w:r>
            <w:bookmarkEnd w:id="131"/>
            <w:r>
              <w:rPr>
                <w:sz w:val="17"/>
              </w:rPr>
              <w:t xml:space="preserve"> a year from FY29</w:t>
            </w:r>
          </w:p>
        </w:tc>
      </w:tr>
      <w:tr>
        <w:tc>
          <w:tcPr>
            <w:tcW w:w="1600" w:type="dxa"/>
            <w:tcBorders>
              <w:bottom w:val="single" w:color="D9D9D9" w:sz="4" w:space="0"/>
            </w:tcBorders>
            <w:tcMar>
              <w:left w:w="60" w:type="dxa"/>
              <w:right w:w="60" w:type="dxa"/>
            </w:tcMar>
          </w:tcPr>
          <w:p>
            <w:pPr>
              <w:spacing w:before="20" w:after="20"/>
              <w:rPr>
                <w:sz w:val="17"/>
              </w:rPr>
            </w:pPr>
            <w:r>
              <w:rPr>
                <w:sz w:val="17"/>
              </w:rPr>
              <w:t>Capacity in flight</w:t>
            </w:r>
          </w:p>
        </w:tc>
        <w:tc>
          <w:tcPr>
            <w:tcW w:w="5440" w:type="dxa"/>
            <w:tcBorders>
              <w:bottom w:val="single" w:color="D9D9D9" w:sz="4" w:space="0"/>
            </w:tcBorders>
            <w:tcMar>
              <w:left w:w="60" w:type="dxa"/>
              <w:right w:w="60" w:type="dxa"/>
            </w:tcMar>
          </w:tcPr>
          <w:p>
            <w:pPr>
              <w:spacing w:before="20" w:after="20"/>
              <w:rPr>
                <w:sz w:val="17"/>
              </w:rPr>
            </w:pPr>
            <w:r>
              <w:rPr>
                <w:sz w:val="17"/>
              </w:rPr>
              <w:t xml:space="preserve">$480M of remaining spend at 31-Mar-26 against </w:t>
            </w:r>
            <w:bookmarkStart w:id="132" w:name="citei-c691"/>
            <w:r>
              <w:rPr>
                <w:sz w:val="17"/>
              </w:rPr>
              <w:t>$115M of undrawn construction facilities</w:t>
            </w:r>
            <w:bookmarkEnd w:id="132"/>
            <w:r>
              <w:rPr>
                <w:sz w:val="17"/>
              </w:rPr>
              <w:t xml:space="preserve">, although the CIM says </w:t>
            </w:r>
            <w:bookmarkStart w:id="133" w:name="citei-c692"/>
            <w:r>
              <w:rPr>
                <w:sz w:val="17"/>
              </w:rPr>
              <w:t>no new equity</w:t>
            </w:r>
            <w:bookmarkEnd w:id="133"/>
            <w:r>
              <w:rPr>
                <w:sz w:val="17"/>
              </w:rPr>
              <w:t xml:space="preserve"> is needed. PHX II contingency is overdrawn </w:t>
            </w:r>
            <w:bookmarkStart w:id="134" w:name="citei-c693"/>
            <w:r>
              <w:rPr>
                <w:sz w:val="17"/>
              </w:rPr>
              <w:t>($1.8M)</w:t>
            </w:r>
            <w:bookmarkEnd w:id="134"/>
            <w:r>
              <w:rPr>
                <w:sz w:val="17"/>
              </w:rPr>
              <w:t xml:space="preserve"> against </w:t>
            </w:r>
            <w:bookmarkStart w:id="135" w:name="citei-c694"/>
            <w:r>
              <w:rPr>
                <w:sz w:val="17"/>
              </w:rPr>
              <w:t>~6%</w:t>
            </w:r>
            <w:bookmarkEnd w:id="135"/>
            <w:r>
              <w:rPr>
                <w:sz w:val="17"/>
              </w:rPr>
              <w:t xml:space="preserve"> cited by the technical review; the </w:t>
            </w:r>
            <w:bookmarkStart w:id="136" w:name="citei-c695"/>
            <w:r>
              <w:rPr>
                <w:sz w:val="17"/>
              </w:rPr>
              <w:t>$4.6M lien claim</w:t>
            </w:r>
            <w:bookmarkEnd w:id="136"/>
            <w:r>
              <w:rPr>
                <w:sz w:val="17"/>
              </w:rPr>
              <w:t xml:space="preserve"> is accrued at </w:t>
            </w:r>
            <w:bookmarkStart w:id="137" w:name="citei-c696"/>
            <w:r>
              <w:rPr>
                <w:sz w:val="17"/>
              </w:rPr>
              <w:t>$1.2M</w:t>
            </w:r>
            <w:bookmarkEnd w:id="137"/>
            <w:r>
              <w:rPr>
                <w:sz w:val="17"/>
              </w:rPr>
              <w:t xml:space="preserve"> (4.05; 2.03 p12, p15; 4.06; 11.06 p2; 9.03 p1).</w:t>
            </w:r>
          </w:p>
        </w:tc>
        <w:tc>
          <w:tcPr>
            <w:tcW w:w="1240" w:type="dxa"/>
            <w:tcBorders>
              <w:bottom w:val="single" w:color="D9D9D9" w:sz="4" w:space="0"/>
            </w:tcBorders>
            <w:tcMar>
              <w:left w:w="60" w:type="dxa"/>
              <w:right w:w="60" w:type="dxa"/>
            </w:tcMar>
          </w:tcPr>
          <w:p>
            <w:pPr>
              <w:spacing w:before="20" w:after="20"/>
              <w:jc w:val="right"/>
              <w:rPr>
                <w:sz w:val="17"/>
              </w:rPr>
            </w:pPr>
            <w:bookmarkStart w:id="138" w:name="citei-c697"/>
            <w:r>
              <w:rPr>
                <w:sz w:val="17"/>
              </w:rPr>
              <w:t>($36M)</w:t>
            </w:r>
            <w:bookmarkEnd w:id="138"/>
          </w:p>
        </w:tc>
        <w:tc>
          <w:tcPr>
            <w:tcW w:w="1560" w:type="dxa"/>
            <w:tcBorders>
              <w:bottom w:val="single" w:color="D9D9D9" w:sz="4" w:space="0"/>
            </w:tcBorders>
            <w:tcMar>
              <w:left w:w="60" w:type="dxa"/>
              <w:right w:w="60" w:type="dxa"/>
            </w:tcMar>
          </w:tcPr>
          <w:p>
            <w:pPr>
              <w:spacing w:before="20" w:after="20"/>
              <w:rPr>
                <w:sz w:val="17"/>
              </w:rPr>
            </w:pPr>
            <w:r>
              <w:rPr>
                <w:sz w:val="17"/>
              </w:rPr>
              <w:t xml:space="preserve">$17.6M in price; $366M seller spend credited; </w:t>
            </w:r>
            <w:bookmarkStart w:id="139" w:name="citei-c698"/>
            <w:r>
              <w:rPr>
                <w:sz w:val="17"/>
              </w:rPr>
              <w:t>$131.6M</w:t>
            </w:r>
            <w:bookmarkEnd w:id="139"/>
            <w:r>
              <w:rPr>
                <w:sz w:val="17"/>
              </w:rPr>
              <w:t xml:space="preserve"> buyer cost to complete</w:t>
            </w:r>
          </w:p>
        </w:tc>
      </w:tr>
      <w:tr>
        <w:tc>
          <w:tcPr>
            <w:tcW w:w="1600" w:type="dxa"/>
            <w:tcBorders>
              <w:bottom w:val="single" w:color="D9D9D9" w:sz="4" w:space="0"/>
            </w:tcBorders>
            <w:tcMar>
              <w:left w:w="60" w:type="dxa"/>
              <w:right w:w="60" w:type="dxa"/>
            </w:tcMar>
          </w:tcPr>
          <w:p>
            <w:pPr>
              <w:spacing w:before="20" w:after="20"/>
              <w:rPr>
                <w:sz w:val="17"/>
              </w:rPr>
            </w:pPr>
            <w:r>
              <w:rPr>
                <w:sz w:val="17"/>
              </w:rPr>
              <w:t>Net debt</w:t>
            </w:r>
          </w:p>
        </w:tc>
        <w:tc>
          <w:tcPr>
            <w:tcW w:w="5440" w:type="dxa"/>
            <w:tcBorders>
              <w:bottom w:val="single" w:color="D9D9D9" w:sz="4" w:space="0"/>
            </w:tcBorders>
            <w:tcMar>
              <w:left w:w="60" w:type="dxa"/>
              <w:right w:w="60" w:type="dxa"/>
            </w:tcMar>
          </w:tcPr>
          <w:p>
            <w:pPr>
              <w:spacing w:before="20" w:after="20"/>
              <w:rPr>
                <w:sz w:val="17"/>
              </w:rPr>
            </w:pPr>
            <w:r>
              <w:rPr>
                <w:sz w:val="17"/>
              </w:rPr>
              <w:t xml:space="preserve">Buy-side net debt and debt-like items are </w:t>
            </w:r>
            <w:bookmarkStart w:id="140" w:name="citei-c699"/>
            <w:r>
              <w:rPr>
                <w:sz w:val="17"/>
              </w:rPr>
              <w:t>$1,584.0M</w:t>
            </w:r>
            <w:bookmarkEnd w:id="140"/>
            <w:r>
              <w:rPr>
                <w:sz w:val="17"/>
              </w:rPr>
              <w:t xml:space="preserve"> against </w:t>
            </w:r>
            <w:bookmarkStart w:id="141" w:name="citei-c700"/>
            <w:r>
              <w:rPr>
                <w:sz w:val="17"/>
              </w:rPr>
              <w:t>$1,506.9M</w:t>
            </w:r>
            <w:bookmarkEnd w:id="141"/>
            <w:r>
              <w:rPr>
                <w:sz w:val="17"/>
              </w:rPr>
              <w:t xml:space="preserve"> in the QoE: the full lien claim, the FY25 bonus accrual, construction payables, the $6.5M retention pool, tenant deposits and other liabilities (QoE p16; buy-side FDD).</w:t>
            </w:r>
          </w:p>
        </w:tc>
        <w:tc>
          <w:tcPr>
            <w:tcW w:w="1240" w:type="dxa"/>
            <w:tcBorders>
              <w:bottom w:val="single" w:color="D9D9D9" w:sz="4" w:space="0"/>
            </w:tcBorders>
            <w:tcMar>
              <w:left w:w="60" w:type="dxa"/>
              <w:right w:w="60" w:type="dxa"/>
            </w:tcMar>
          </w:tcPr>
          <w:p>
            <w:pPr>
              <w:spacing w:before="20" w:after="20"/>
              <w:jc w:val="right"/>
              <w:rPr>
                <w:sz w:val="17"/>
              </w:rPr>
            </w:pPr>
            <w:r>
              <w:rPr>
                <w:sz w:val="17"/>
              </w:rPr>
              <w:t>Dollar for dollar</w:t>
            </w:r>
          </w:p>
        </w:tc>
        <w:tc>
          <w:tcPr>
            <w:tcW w:w="1560" w:type="dxa"/>
            <w:tcBorders>
              <w:bottom w:val="single" w:color="D9D9D9" w:sz="4" w:space="0"/>
            </w:tcBorders>
            <w:tcMar>
              <w:left w:w="60" w:type="dxa"/>
              <w:right w:w="60" w:type="dxa"/>
            </w:tcMar>
          </w:tcPr>
          <w:p>
            <w:pPr>
              <w:spacing w:before="20" w:after="20"/>
              <w:rPr>
                <w:sz w:val="17"/>
              </w:rPr>
            </w:pPr>
            <w:r>
              <w:rPr>
                <w:sz w:val="17"/>
              </w:rPr>
              <w:t>Equity to sellers</w:t>
            </w:r>
          </w:p>
        </w:tc>
      </w:tr>
      <w:tr>
        <w:tc>
          <w:tcPr>
            <w:tcW w:w="1600" w:type="dxa"/>
            <w:tcBorders>
              <w:bottom w:val="single" w:color="D9D9D9" w:sz="4" w:space="0"/>
            </w:tcBorders>
            <w:tcMar>
              <w:left w:w="60" w:type="dxa"/>
              <w:right w:w="60" w:type="dxa"/>
            </w:tcMar>
          </w:tcPr>
          <w:p>
            <w:pPr>
              <w:spacing w:before="20" w:after="20"/>
              <w:rPr>
                <w:sz w:val="17"/>
              </w:rPr>
            </w:pPr>
            <w:r>
              <w:rPr>
                <w:sz w:val="17"/>
              </w:rPr>
              <w:t>Plan quality</w:t>
            </w:r>
          </w:p>
        </w:tc>
        <w:tc>
          <w:tcPr>
            <w:tcW w:w="5440" w:type="dxa"/>
            <w:tcBorders>
              <w:bottom w:val="single" w:color="D9D9D9" w:sz="4" w:space="0"/>
            </w:tcBorders>
            <w:tcMar>
              <w:left w:w="60" w:type="dxa"/>
              <w:right w:w="60" w:type="dxa"/>
            </w:tcMar>
          </w:tcPr>
          <w:p>
            <w:pPr>
              <w:spacing w:before="20" w:after="20"/>
              <w:rPr>
                <w:sz w:val="17"/>
              </w:rPr>
            </w:pPr>
            <w:r>
              <w:rPr>
                <w:sz w:val="17"/>
              </w:rPr>
              <w:t xml:space="preserve">San Antonio energization is indicated for </w:t>
            </w:r>
            <w:bookmarkStart w:id="142" w:name="citei-c701"/>
            <w:r>
              <w:rPr>
                <w:sz w:val="17"/>
              </w:rPr>
              <w:t>2029 with no ESA signed</w:t>
            </w:r>
            <w:bookmarkEnd w:id="142"/>
            <w:r>
              <w:rPr>
                <w:sz w:val="17"/>
              </w:rPr>
              <w:t xml:space="preserve">; the occupancy bridge shows ATL I at </w:t>
            </w:r>
            <w:bookmarkStart w:id="143" w:name="citei-c702"/>
            <w:r>
              <w:rPr>
                <w:sz w:val="17"/>
              </w:rPr>
              <w:t>134%</w:t>
            </w:r>
            <w:bookmarkEnd w:id="143"/>
            <w:r>
              <w:rPr>
                <w:sz w:val="17"/>
              </w:rPr>
              <w:t xml:space="preserve"> in FY23 (6.01 p2; 3.04).</w:t>
            </w:r>
          </w:p>
        </w:tc>
        <w:tc>
          <w:tcPr>
            <w:tcW w:w="1240" w:type="dxa"/>
            <w:tcBorders>
              <w:bottom w:val="single" w:color="D9D9D9" w:sz="4" w:space="0"/>
            </w:tcBorders>
            <w:tcMar>
              <w:left w:w="60" w:type="dxa"/>
              <w:right w:w="60" w:type="dxa"/>
            </w:tcMar>
          </w:tcPr>
          <w:p>
            <w:pPr>
              <w:spacing w:before="20" w:after="20"/>
              <w:jc w:val="right"/>
              <w:rPr>
                <w:sz w:val="17"/>
              </w:rPr>
            </w:pPr>
            <w:r>
              <w:rPr>
                <w:sz w:val="17"/>
              </w:rPr>
              <w:t>Not in price</w:t>
            </w:r>
          </w:p>
        </w:tc>
        <w:tc>
          <w:tcPr>
            <w:tcW w:w="1560" w:type="dxa"/>
            <w:tcBorders>
              <w:bottom w:val="single" w:color="D9D9D9" w:sz="4" w:space="0"/>
            </w:tcBorders>
            <w:tcMar>
              <w:left w:w="60" w:type="dxa"/>
              <w:right w:w="60" w:type="dxa"/>
            </w:tcMar>
          </w:tcPr>
          <w:p>
            <w:pPr>
              <w:spacing w:before="20" w:after="20"/>
              <w:rPr>
                <w:sz w:val="17"/>
              </w:rPr>
            </w:pPr>
            <w:r>
              <w:rPr>
                <w:sz w:val="17"/>
              </w:rPr>
              <w:t>Long-range plan treated as upside only</w:t>
            </w:r>
          </w:p>
        </w:tc>
      </w:tr>
    </w:tbl>
    <w:p>
      <w:pPr>
        <w:spacing w:after="40"/>
      </w:pPr>
      <w:r>
        <w:t/>
      </w:r>
    </w:p>
    <w:p>
      <w:pPr>
        <w:pStyle w:val="Heading1"/>
        <w:keepNext/>
        <w:spacing w:before="200" w:after="60"/>
      </w:pPr>
      <w:r>
        <w:t>5. Valuation and returns</w:t>
      </w:r>
    </w:p>
    <w:p>
      <w:pPr>
        <w:pStyle w:val="Heading2"/>
        <w:keepNext/>
        <w:spacing w:before="120" w:after="60"/>
      </w:pPr>
      <w:r>
        <w:t>Valuation: from the seller anchor to the IOI, then to the final bid</w:t>
      </w:r>
    </w:p>
    <w:p>
      <w:pPr>
        <w:pStyle w:val="Normal"/>
        <w:spacing w:before="0" w:after="100"/>
      </w:pPr>
      <w:r>
        <w:t xml:space="preserve">The CIM review started from the seller's numbers at the 19.2x reference multiple and took out what diligence does not support; the midpoint of its </w:t>
      </w:r>
      <w:bookmarkStart w:id="144" w:name="citei-c703"/>
      <w:r>
        <w:t>$4,144M to $4,299M</w:t>
      </w:r>
      <w:bookmarkEnd w:id="144"/>
      <w:r>
        <w:t xml:space="preserve"> range rounds to the $4,225M IOI (</w:t>
      </w:r>
      <w:bookmarkStart w:id="145" w:name="citei-c704"/>
      <w:r>
        <w:t>18.9x seller FY25, 17.9x seller LTM Q1 FY26 and 20.4x buyer FY25</w:t>
      </w:r>
      <w:bookmarkEnd w:id="145"/>
      <w:r>
        <w:t xml:space="preserve"> EBITDA). The final bid moves that value to the close date.</w:t>
      </w:r>
    </w:p>
    <w:tbl>
      <w:tblPr>
        <w:tblW w:w="9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
      <w:tblGrid>
        <w:gridCol w:w="1440"/>
        <w:gridCol w:w="1440"/>
      </w:tblGrid>
      <w:tr>
        <w:trPr>
          <w:tblHeader/>
        </w:trPr>
        <w:tc>
          <w:tcPr>
            <w:tcW w:w="7760" w:type="dxa"/>
            <w:tcBorders>
              <w:bottom w:val="single" w:color="D9D9D9" w:sz="4" w:space="0"/>
            </w:tcBorders>
            <w:shd w:val="clear" w:fill="F2F0EC"/>
            <w:tcMar>
              <w:left w:w="60" w:type="dxa"/>
              <w:right w:w="60" w:type="dxa"/>
            </w:tcMar>
          </w:tcPr>
          <w:p>
            <w:pPr>
              <w:spacing w:before="20" w:after="20"/>
              <w:rPr>
                <w:b/>
                <w:sz w:val="18"/>
              </w:rPr>
            </w:pPr>
            <w:r>
              <w:rPr>
                <w:b/>
                <w:sz w:val="18"/>
              </w:rPr>
              <w:t>Seller anchor to final bid</w:t>
            </w:r>
          </w:p>
        </w:tc>
        <w:tc>
          <w:tcPr>
            <w:tcW w:w="2080" w:type="dxa"/>
            <w:tcBorders>
              <w:bottom w:val="single" w:color="D9D9D9" w:sz="4" w:space="0"/>
            </w:tcBorders>
            <w:shd w:val="clear" w:fill="F2F0EC"/>
            <w:tcMar>
              <w:left w:w="60" w:type="dxa"/>
              <w:right w:w="60" w:type="dxa"/>
            </w:tcMar>
          </w:tcPr>
          <w:p>
            <w:pPr>
              <w:spacing w:before="20" w:after="20"/>
              <w:jc w:val="right"/>
              <w:rPr>
                <w:b/>
                <w:sz w:val="18"/>
              </w:rPr>
            </w:pPr>
            <w:r>
              <w:rPr>
                <w:b/>
                <w:sz w:val="18"/>
              </w:rPr>
              <w:t>$M</w:t>
            </w:r>
          </w:p>
        </w:tc>
      </w:tr>
      <w:tr>
        <w:tc>
          <w:tcPr>
            <w:tcW w:w="7760" w:type="dxa"/>
            <w:tcBorders>
              <w:bottom w:val="single" w:color="D9D9D9" w:sz="4" w:space="0"/>
            </w:tcBorders>
            <w:tcMar>
              <w:left w:w="60" w:type="dxa"/>
              <w:right w:w="60" w:type="dxa"/>
            </w:tcMar>
          </w:tcPr>
          <w:p>
            <w:pPr>
              <w:spacing w:before="20" w:after="20"/>
              <w:rPr>
                <w:sz w:val="18"/>
              </w:rPr>
            </w:pPr>
            <w:r>
              <w:rPr>
                <w:sz w:val="18"/>
              </w:rPr>
              <w:t>Seller-basis EV: 19.2x x $224.0M plus $508M capacity in flight at cost</w:t>
            </w:r>
          </w:p>
        </w:tc>
        <w:tc>
          <w:tcPr>
            <w:tcW w:w="2080" w:type="dxa"/>
            <w:tcBorders>
              <w:bottom w:val="single" w:color="D9D9D9" w:sz="4" w:space="0"/>
            </w:tcBorders>
            <w:tcMar>
              <w:left w:w="60" w:type="dxa"/>
              <w:right w:w="60" w:type="dxa"/>
            </w:tcMar>
          </w:tcPr>
          <w:p>
            <w:pPr>
              <w:spacing w:before="20" w:after="20"/>
              <w:jc w:val="right"/>
              <w:rPr>
                <w:sz w:val="18"/>
              </w:rPr>
            </w:pPr>
            <w:bookmarkStart w:id="146" w:name="citei-c705"/>
            <w:r>
              <w:rPr>
                <w:sz w:val="18"/>
              </w:rPr>
              <w:t>4,819</w:t>
            </w:r>
            <w:bookmarkEnd w:id="146"/>
          </w:p>
        </w:tc>
      </w:tr>
      <w:tr>
        <w:tc>
          <w:tcPr>
            <w:tcW w:w="7760" w:type="dxa"/>
            <w:tcBorders>
              <w:bottom w:val="single" w:color="D9D9D9" w:sz="4" w:space="0"/>
            </w:tcBorders>
            <w:tcMar>
              <w:left w:w="60" w:type="dxa"/>
              <w:right w:w="60" w:type="dxa"/>
            </w:tcMar>
          </w:tcPr>
          <w:p>
            <w:pPr>
              <w:spacing w:before="20" w:after="20"/>
              <w:rPr>
                <w:sz w:val="18"/>
              </w:rPr>
            </w:pPr>
            <w:r>
              <w:rPr>
                <w:sz w:val="18"/>
              </w:rPr>
              <w:t>Less: earnings quality (transaction costs, severance, VPPA gains, interest income)</w:t>
            </w:r>
          </w:p>
        </w:tc>
        <w:tc>
          <w:tcPr>
            <w:tcW w:w="2080" w:type="dxa"/>
            <w:tcBorders>
              <w:bottom w:val="single" w:color="D9D9D9" w:sz="4" w:space="0"/>
            </w:tcBorders>
            <w:tcMar>
              <w:left w:w="60" w:type="dxa"/>
              <w:right w:w="60" w:type="dxa"/>
            </w:tcMar>
          </w:tcPr>
          <w:p>
            <w:pPr>
              <w:spacing w:before="20" w:after="20"/>
              <w:jc w:val="right"/>
              <w:rPr>
                <w:sz w:val="18"/>
              </w:rPr>
            </w:pPr>
            <w:r>
              <w:rPr>
                <w:sz w:val="18"/>
              </w:rPr>
              <w:t>(172)</w:t>
            </w:r>
          </w:p>
        </w:tc>
      </w:tr>
      <w:tr>
        <w:tc>
          <w:tcPr>
            <w:tcW w:w="7760" w:type="dxa"/>
            <w:tcBorders>
              <w:bottom w:val="single" w:color="D9D9D9" w:sz="4" w:space="0"/>
            </w:tcBorders>
            <w:tcMar>
              <w:left w:w="60" w:type="dxa"/>
              <w:right w:w="60" w:type="dxa"/>
            </w:tcMar>
          </w:tcPr>
          <w:p>
            <w:pPr>
              <w:spacing w:before="20" w:after="20"/>
              <w:rPr>
                <w:sz w:val="18"/>
              </w:rPr>
            </w:pPr>
            <w:r>
              <w:rPr>
                <w:sz w:val="18"/>
              </w:rPr>
              <w:t>Less: power cost not recovered</w:t>
            </w:r>
          </w:p>
        </w:tc>
        <w:tc>
          <w:tcPr>
            <w:tcW w:w="2080" w:type="dxa"/>
            <w:tcBorders>
              <w:bottom w:val="single" w:color="D9D9D9" w:sz="4" w:space="0"/>
            </w:tcBorders>
            <w:tcMar>
              <w:left w:w="60" w:type="dxa"/>
              <w:right w:w="60" w:type="dxa"/>
            </w:tcMar>
          </w:tcPr>
          <w:p>
            <w:pPr>
              <w:spacing w:before="20" w:after="20"/>
              <w:jc w:val="right"/>
              <w:rPr>
                <w:sz w:val="18"/>
              </w:rPr>
            </w:pPr>
            <w:r>
              <w:rPr>
                <w:sz w:val="18"/>
              </w:rPr>
              <w:t>(157)</w:t>
            </w:r>
          </w:p>
        </w:tc>
      </w:tr>
      <w:tr>
        <w:tc>
          <w:tcPr>
            <w:tcW w:w="7760" w:type="dxa"/>
            <w:tcBorders>
              <w:bottom w:val="single" w:color="D9D9D9" w:sz="4" w:space="0"/>
            </w:tcBorders>
            <w:tcMar>
              <w:left w:w="60" w:type="dxa"/>
              <w:right w:w="60" w:type="dxa"/>
            </w:tcMar>
          </w:tcPr>
          <w:p>
            <w:pPr>
              <w:spacing w:before="20" w:after="20"/>
              <w:rPr>
                <w:sz w:val="18"/>
              </w:rPr>
            </w:pPr>
            <w:r>
              <w:rPr>
                <w:sz w:val="18"/>
              </w:rPr>
              <w:t>Less: contracted-term discount to the multiple †</w:t>
            </w:r>
          </w:p>
        </w:tc>
        <w:tc>
          <w:tcPr>
            <w:tcW w:w="2080" w:type="dxa"/>
            <w:tcBorders>
              <w:bottom w:val="single" w:color="D9D9D9" w:sz="4" w:space="0"/>
            </w:tcBorders>
            <w:tcMar>
              <w:left w:w="60" w:type="dxa"/>
              <w:right w:w="60" w:type="dxa"/>
            </w:tcMar>
          </w:tcPr>
          <w:p>
            <w:pPr>
              <w:spacing w:before="20" w:after="20"/>
              <w:jc w:val="right"/>
              <w:rPr>
                <w:sz w:val="18"/>
              </w:rPr>
            </w:pPr>
            <w:r>
              <w:rPr>
                <w:sz w:val="18"/>
              </w:rPr>
              <w:t>(233)</w:t>
            </w:r>
          </w:p>
        </w:tc>
      </w:tr>
      <w:tr>
        <w:tc>
          <w:tcPr>
            <w:tcW w:w="7760" w:type="dxa"/>
            <w:tcBorders>
              <w:bottom w:val="single" w:color="D9D9D9" w:sz="4" w:space="0"/>
            </w:tcBorders>
            <w:tcMar>
              <w:left w:w="60" w:type="dxa"/>
              <w:right w:w="60" w:type="dxa"/>
            </w:tcMar>
          </w:tcPr>
          <w:p>
            <w:pPr>
              <w:spacing w:before="20" w:after="20"/>
              <w:rPr>
                <w:sz w:val="18"/>
              </w:rPr>
            </w:pPr>
            <w:r>
              <w:rPr>
                <w:sz w:val="18"/>
              </w:rPr>
              <w:t>Less: PHX II cost-to-complete exposure and DFW I-A chiller</w:t>
            </w:r>
          </w:p>
        </w:tc>
        <w:tc>
          <w:tcPr>
            <w:tcW w:w="2080" w:type="dxa"/>
            <w:tcBorders>
              <w:bottom w:val="single" w:color="D9D9D9" w:sz="4" w:space="0"/>
            </w:tcBorders>
            <w:tcMar>
              <w:left w:w="60" w:type="dxa"/>
              <w:right w:w="60" w:type="dxa"/>
            </w:tcMar>
          </w:tcPr>
          <w:p>
            <w:pPr>
              <w:spacing w:before="20" w:after="20"/>
              <w:jc w:val="right"/>
              <w:rPr>
                <w:sz w:val="18"/>
              </w:rPr>
            </w:pPr>
            <w:r>
              <w:rPr>
                <w:sz w:val="18"/>
              </w:rPr>
              <w:t>(36)</w:t>
            </w:r>
          </w:p>
        </w:tc>
      </w:tr>
      <w:tr>
        <w:tc>
          <w:tcPr>
            <w:tcW w:w="7760" w:type="dxa"/>
            <w:tcBorders>
              <w:bottom w:val="single" w:color="D9D9D9" w:sz="4" w:space="0"/>
            </w:tcBorders>
            <w:tcMar>
              <w:left w:w="60" w:type="dxa"/>
              <w:right w:w="60" w:type="dxa"/>
            </w:tcMar>
          </w:tcPr>
          <w:p>
            <w:pPr>
              <w:spacing w:before="20" w:after="20"/>
              <w:rPr>
                <w:sz w:val="18"/>
              </w:rPr>
            </w:pPr>
            <w:r>
              <w:rPr>
                <w:sz w:val="18"/>
              </w:rPr>
              <w:t>IOI midpoint before rounding / IOI headline</w:t>
            </w:r>
          </w:p>
        </w:tc>
        <w:tc>
          <w:tcPr>
            <w:tcW w:w="2080" w:type="dxa"/>
            <w:tcBorders>
              <w:bottom w:val="single" w:color="D9D9D9" w:sz="4" w:space="0"/>
            </w:tcBorders>
            <w:tcMar>
              <w:left w:w="60" w:type="dxa"/>
              <w:right w:w="60" w:type="dxa"/>
            </w:tcMar>
          </w:tcPr>
          <w:p>
            <w:pPr>
              <w:spacing w:before="20" w:after="20"/>
              <w:jc w:val="right"/>
              <w:rPr>
                <w:sz w:val="18"/>
              </w:rPr>
            </w:pPr>
            <w:bookmarkStart w:id="147" w:name="citei-c706"/>
            <w:r>
              <w:rPr>
                <w:sz w:val="18"/>
              </w:rPr>
              <w:t>4,221 / 4,225</w:t>
            </w:r>
            <w:bookmarkEnd w:id="147"/>
          </w:p>
        </w:tc>
      </w:tr>
      <w:tr>
        <w:tc>
          <w:tcPr>
            <w:tcW w:w="7760" w:type="dxa"/>
            <w:tcBorders>
              <w:bottom w:val="single" w:color="D9D9D9" w:sz="4" w:space="0"/>
            </w:tcBorders>
            <w:tcMar>
              <w:left w:w="60" w:type="dxa"/>
              <w:right w:w="60" w:type="dxa"/>
            </w:tcMar>
          </w:tcPr>
          <w:p>
            <w:pPr>
              <w:spacing w:before="20" w:after="20"/>
              <w:rPr>
                <w:sz w:val="18"/>
              </w:rPr>
            </w:pPr>
            <w:r>
              <w:rPr>
                <w:sz w:val="18"/>
              </w:rPr>
              <w:t>Plus: seller spend on capacity in flight, Apr-Dec 2026 (plan)</w:t>
            </w:r>
          </w:p>
        </w:tc>
        <w:tc>
          <w:tcPr>
            <w:tcW w:w="2080" w:type="dxa"/>
            <w:tcBorders>
              <w:bottom w:val="single" w:color="D9D9D9" w:sz="4" w:space="0"/>
            </w:tcBorders>
            <w:tcMar>
              <w:left w:w="60" w:type="dxa"/>
              <w:right w:w="60" w:type="dxa"/>
            </w:tcMar>
          </w:tcPr>
          <w:p>
            <w:pPr>
              <w:spacing w:before="20" w:after="20"/>
              <w:jc w:val="right"/>
              <w:rPr>
                <w:sz w:val="18"/>
              </w:rPr>
            </w:pPr>
            <w:bookmarkStart w:id="148" w:name="citei-c707"/>
            <w:r>
              <w:rPr>
                <w:sz w:val="18"/>
              </w:rPr>
              <w:t>366</w:t>
            </w:r>
            <w:bookmarkEnd w:id="148"/>
          </w:p>
        </w:tc>
      </w:tr>
      <w:tr>
        <w:tc>
          <w:tcPr>
            <w:tcW w:w="7760" w:type="dxa"/>
            <w:tcBorders>
              <w:bottom w:val="single" w:color="D9D9D9" w:sz="4" w:space="0"/>
            </w:tcBorders>
            <w:tcMar>
              <w:left w:w="60" w:type="dxa"/>
              <w:right w:w="60" w:type="dxa"/>
            </w:tcMar>
          </w:tcPr>
          <w:p>
            <w:pPr>
              <w:spacing w:before="20" w:after="20"/>
              <w:rPr>
                <w:b/>
                <w:sz w:val="18"/>
              </w:rPr>
            </w:pPr>
            <w:r>
              <w:rPr>
                <w:b/>
                <w:sz w:val="18"/>
              </w:rPr>
              <w:t>Recommended final bid at a 31-Dec-26 close</w:t>
            </w:r>
          </w:p>
        </w:tc>
        <w:tc>
          <w:tcPr>
            <w:tcW w:w="2080" w:type="dxa"/>
            <w:tcBorders>
              <w:bottom w:val="single" w:color="D9D9D9" w:sz="4" w:space="0"/>
            </w:tcBorders>
            <w:tcMar>
              <w:left w:w="60" w:type="dxa"/>
              <w:right w:w="60" w:type="dxa"/>
            </w:tcMar>
          </w:tcPr>
          <w:p>
            <w:pPr>
              <w:spacing w:before="20" w:after="20"/>
              <w:jc w:val="right"/>
              <w:rPr>
                <w:b/>
                <w:sz w:val="18"/>
              </w:rPr>
            </w:pPr>
            <w:bookmarkStart w:id="149" w:name="citei-c708"/>
            <w:r>
              <w:rPr>
                <w:b/>
                <w:sz w:val="18"/>
              </w:rPr>
              <w:t>4,591</w:t>
            </w:r>
            <w:bookmarkEnd w:id="149"/>
          </w:p>
        </w:tc>
      </w:tr>
      <w:tr>
        <w:tc>
          <w:tcPr>
            <w:tcW w:w="7760" w:type="dxa"/>
            <w:tcBorders>
              <w:bottom w:val="single" w:color="D9D9D9" w:sz="4" w:space="0"/>
            </w:tcBorders>
            <w:tcMar>
              <w:left w:w="60" w:type="dxa"/>
              <w:right w:w="60" w:type="dxa"/>
            </w:tcMar>
          </w:tcPr>
          <w:p>
            <w:pPr>
              <w:spacing w:before="20" w:after="20"/>
              <w:rPr>
                <w:sz w:val="18"/>
              </w:rPr>
            </w:pPr>
            <w:r>
              <w:rPr>
                <w:sz w:val="18"/>
              </w:rPr>
              <w:t>Memo: 18.0x FY26 budget, seller / buy-side definitions</w:t>
            </w:r>
          </w:p>
        </w:tc>
        <w:tc>
          <w:tcPr>
            <w:tcW w:w="2080" w:type="dxa"/>
            <w:tcBorders>
              <w:bottom w:val="single" w:color="D9D9D9" w:sz="4" w:space="0"/>
            </w:tcBorders>
            <w:tcMar>
              <w:left w:w="60" w:type="dxa"/>
              <w:right w:w="60" w:type="dxa"/>
            </w:tcMar>
          </w:tcPr>
          <w:p>
            <w:pPr>
              <w:spacing w:before="20" w:after="20"/>
              <w:jc w:val="right"/>
              <w:rPr>
                <w:sz w:val="18"/>
              </w:rPr>
            </w:pPr>
            <w:bookmarkStart w:id="150" w:name="citei-c709"/>
            <w:r>
              <w:rPr>
                <w:sz w:val="18"/>
              </w:rPr>
              <w:t>4,896 / 4,546</w:t>
            </w:r>
            <w:bookmarkEnd w:id="150"/>
          </w:p>
        </w:tc>
      </w:tr>
    </w:tbl>
    <w:p>
      <w:pPr>
        <w:spacing w:after="40"/>
      </w:pPr>
      <w:r>
        <w:t/>
      </w:r>
    </w:p>
    <w:p>
      <w:pPr>
        <w:pStyle w:val="Heading2"/>
        <w:keepNext/>
        <w:spacing w:before="120" w:after="60"/>
      </w:pPr>
      <w:r>
        <w:t>Financing and sources and uses</w:t>
      </w:r>
    </w:p>
    <w:p>
      <w:pPr>
        <w:pStyle w:val="Normal"/>
        <w:spacing w:before="0" w:after="100"/>
      </w:pPr>
      <w:r>
        <w:t xml:space="preserve">We re-size the staple on our earnings base: the term loan is offered at </w:t>
      </w:r>
      <w:bookmarkStart w:id="151" w:name="citei-c710"/>
      <w:r>
        <w:t>6.0x the seller's $224.0M ($1,344M)</w:t>
      </w:r>
      <w:bookmarkEnd w:id="151"/>
      <w:r>
        <w:t xml:space="preserve">; at 6.0x our $206.9M it is </w:t>
      </w:r>
      <w:bookmarkStart w:id="152" w:name="citei-c711"/>
      <w:r>
        <w:t>$1,241.4M</w:t>
      </w:r>
      <w:bookmarkEnd w:id="152"/>
      <w:r>
        <w:t xml:space="preserve"> (</w:t>
      </w:r>
      <w:bookmarkStart w:id="153" w:name="citei-c712"/>
      <w:r>
        <w:t>5.7x LTM Mar-26</w:t>
      </w:r>
      <w:bookmarkEnd w:id="153"/>
      <w:r>
        <w:t>), at Term SOFR plus 3.00% (</w:t>
      </w:r>
      <w:bookmarkStart w:id="154" w:name="citei-c713"/>
      <w:r>
        <w:t>6.75% all-in at the illustrative 3.75% SOFR</w:t>
      </w:r>
      <w:bookmarkEnd w:id="154"/>
      <w:r>
        <w:t xml:space="preserve">), issued at 99.0 with 1% amortization. The </w:t>
      </w:r>
      <w:bookmarkStart w:id="155" w:name="citei-c714"/>
      <w:r>
        <w:t>$250M DDTL</w:t>
      </w:r>
      <w:bookmarkEnd w:id="155"/>
      <w:r>
        <w:t xml:space="preserve"> funds the </w:t>
      </w:r>
      <w:bookmarkStart w:id="156" w:name="citei-c715"/>
      <w:r>
        <w:t>$131.6M</w:t>
      </w:r>
      <w:bookmarkEnd w:id="156"/>
      <w:r>
        <w:t xml:space="preserve"> buyer cost to complete, and the </w:t>
      </w:r>
      <w:bookmarkStart w:id="157" w:name="citei-c716"/>
      <w:r>
        <w:t>$150M revolver</w:t>
      </w:r>
      <w:bookmarkEnd w:id="157"/>
      <w:r>
        <w:t xml:space="preserve"> is undrawn. The term loan carries </w:t>
      </w:r>
      <w:bookmarkStart w:id="158" w:name="citei-c717"/>
      <w:r>
        <w:t>no financial maintenance covenant</w:t>
      </w:r>
      <w:bookmarkEnd w:id="158"/>
      <w:r>
        <w:t>.</w:t>
      </w:r>
    </w:p>
    <w:tbl>
      <w:tblPr>
        <w:tblW w:w="9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
      <w:tblGrid>
        <w:gridCol w:w="1440"/>
        <w:gridCol w:w="1440"/>
        <w:gridCol w:w="1440"/>
        <w:gridCol w:w="1440"/>
      </w:tblGrid>
      <w:tr>
        <w:trPr>
          <w:tblHeader/>
        </w:trPr>
        <w:tc>
          <w:tcPr>
            <w:tcW w:w="4000" w:type="dxa"/>
            <w:tcBorders>
              <w:bottom w:val="single" w:color="D9D9D9" w:sz="4" w:space="0"/>
            </w:tcBorders>
            <w:shd w:val="clear" w:fill="F2F0EC"/>
            <w:tcMar>
              <w:left w:w="60" w:type="dxa"/>
              <w:right w:w="60" w:type="dxa"/>
            </w:tcMar>
          </w:tcPr>
          <w:p>
            <w:pPr>
              <w:spacing w:before="20" w:after="20"/>
              <w:rPr>
                <w:b/>
                <w:sz w:val="18"/>
              </w:rPr>
            </w:pPr>
            <w:r>
              <w:rPr>
                <w:b/>
                <w:sz w:val="18"/>
              </w:rPr>
              <w:t>Uses</w:t>
            </w:r>
          </w:p>
        </w:tc>
        <w:tc>
          <w:tcPr>
            <w:tcW w:w="1240" w:type="dxa"/>
            <w:tcBorders>
              <w:bottom w:val="single" w:color="D9D9D9" w:sz="4" w:space="0"/>
            </w:tcBorders>
            <w:shd w:val="clear" w:fill="F2F0EC"/>
            <w:tcMar>
              <w:left w:w="60" w:type="dxa"/>
              <w:right w:w="60" w:type="dxa"/>
            </w:tcMar>
          </w:tcPr>
          <w:p>
            <w:pPr>
              <w:spacing w:before="20" w:after="20"/>
              <w:jc w:val="right"/>
              <w:rPr>
                <w:b/>
                <w:sz w:val="18"/>
              </w:rPr>
            </w:pPr>
            <w:r>
              <w:rPr>
                <w:b/>
                <w:sz w:val="18"/>
              </w:rPr>
              <w:t>$M</w:t>
            </w:r>
          </w:p>
        </w:tc>
        <w:tc>
          <w:tcPr>
            <w:tcW w:w="3360" w:type="dxa"/>
            <w:tcBorders>
              <w:bottom w:val="single" w:color="D9D9D9" w:sz="4" w:space="0"/>
            </w:tcBorders>
            <w:shd w:val="clear" w:fill="F2F0EC"/>
            <w:tcMar>
              <w:left w:w="60" w:type="dxa"/>
              <w:right w:w="60" w:type="dxa"/>
            </w:tcMar>
          </w:tcPr>
          <w:p>
            <w:pPr>
              <w:spacing w:before="20" w:after="20"/>
              <w:rPr>
                <w:b/>
                <w:sz w:val="18"/>
              </w:rPr>
            </w:pPr>
            <w:r>
              <w:rPr>
                <w:b/>
                <w:sz w:val="18"/>
              </w:rPr>
              <w:t>Sources</w:t>
            </w:r>
          </w:p>
        </w:tc>
        <w:tc>
          <w:tcPr>
            <w:tcW w:w="1240" w:type="dxa"/>
            <w:tcBorders>
              <w:bottom w:val="single" w:color="D9D9D9" w:sz="4" w:space="0"/>
            </w:tcBorders>
            <w:shd w:val="clear" w:fill="F2F0EC"/>
            <w:tcMar>
              <w:left w:w="60" w:type="dxa"/>
              <w:right w:w="60" w:type="dxa"/>
            </w:tcMar>
          </w:tcPr>
          <w:p>
            <w:pPr>
              <w:spacing w:before="20" w:after="20"/>
              <w:jc w:val="right"/>
              <w:rPr>
                <w:b/>
                <w:sz w:val="18"/>
              </w:rPr>
            </w:pPr>
            <w:r>
              <w:rPr>
                <w:b/>
                <w:sz w:val="18"/>
              </w:rPr>
              <w:t>$M</w:t>
            </w:r>
          </w:p>
        </w:tc>
      </w:tr>
      <w:tr>
        <w:tc>
          <w:tcPr>
            <w:tcW w:w="4000" w:type="dxa"/>
            <w:tcBorders>
              <w:bottom w:val="single" w:color="D9D9D9" w:sz="4" w:space="0"/>
            </w:tcBorders>
            <w:tcMar>
              <w:left w:w="60" w:type="dxa"/>
              <w:right w:w="60" w:type="dxa"/>
            </w:tcMar>
          </w:tcPr>
          <w:p>
            <w:pPr>
              <w:spacing w:before="20" w:after="20"/>
              <w:rPr>
                <w:sz w:val="18"/>
              </w:rPr>
            </w:pPr>
            <w:r>
              <w:rPr>
                <w:sz w:val="18"/>
              </w:rPr>
              <w:t>Equity purchase price to sellers</w:t>
            </w:r>
          </w:p>
        </w:tc>
        <w:tc>
          <w:tcPr>
            <w:tcW w:w="1240" w:type="dxa"/>
            <w:tcBorders>
              <w:bottom w:val="single" w:color="D9D9D9" w:sz="4" w:space="0"/>
            </w:tcBorders>
            <w:tcMar>
              <w:left w:w="60" w:type="dxa"/>
              <w:right w:w="60" w:type="dxa"/>
            </w:tcMar>
          </w:tcPr>
          <w:p>
            <w:pPr>
              <w:spacing w:before="20" w:after="20"/>
              <w:jc w:val="right"/>
              <w:rPr>
                <w:sz w:val="18"/>
              </w:rPr>
            </w:pPr>
            <w:bookmarkStart w:id="159" w:name="citei-c718"/>
            <w:r>
              <w:rPr>
                <w:sz w:val="18"/>
              </w:rPr>
              <w:t>3,007.0</w:t>
            </w:r>
            <w:bookmarkEnd w:id="159"/>
          </w:p>
        </w:tc>
        <w:tc>
          <w:tcPr>
            <w:tcW w:w="3360" w:type="dxa"/>
            <w:tcBorders>
              <w:bottom w:val="single" w:color="D9D9D9" w:sz="4" w:space="0"/>
            </w:tcBorders>
            <w:tcMar>
              <w:left w:w="60" w:type="dxa"/>
              <w:right w:w="60" w:type="dxa"/>
            </w:tcMar>
          </w:tcPr>
          <w:p>
            <w:pPr>
              <w:spacing w:before="20" w:after="20"/>
              <w:rPr>
                <w:sz w:val="18"/>
              </w:rPr>
            </w:pPr>
            <w:r>
              <w:rPr>
                <w:sz w:val="18"/>
              </w:rPr>
              <w:t>Staple term loan (re-sized)</w:t>
            </w:r>
          </w:p>
        </w:tc>
        <w:tc>
          <w:tcPr>
            <w:tcW w:w="1240" w:type="dxa"/>
            <w:tcBorders>
              <w:bottom w:val="single" w:color="D9D9D9" w:sz="4" w:space="0"/>
            </w:tcBorders>
            <w:tcMar>
              <w:left w:w="60" w:type="dxa"/>
              <w:right w:w="60" w:type="dxa"/>
            </w:tcMar>
          </w:tcPr>
          <w:p>
            <w:pPr>
              <w:spacing w:before="20" w:after="20"/>
              <w:jc w:val="right"/>
              <w:rPr>
                <w:sz w:val="18"/>
              </w:rPr>
            </w:pPr>
            <w:r>
              <w:rPr>
                <w:sz w:val="18"/>
              </w:rPr>
              <w:t>1,241.4</w:t>
            </w:r>
          </w:p>
        </w:tc>
      </w:tr>
      <w:tr>
        <w:tc>
          <w:tcPr>
            <w:tcW w:w="4000" w:type="dxa"/>
            <w:tcBorders>
              <w:bottom w:val="single" w:color="D9D9D9" w:sz="4" w:space="0"/>
            </w:tcBorders>
            <w:tcMar>
              <w:left w:w="60" w:type="dxa"/>
              <w:right w:w="60" w:type="dxa"/>
            </w:tcMar>
          </w:tcPr>
          <w:p>
            <w:pPr>
              <w:spacing w:before="20" w:after="20"/>
              <w:rPr>
                <w:sz w:val="18"/>
              </w:rPr>
            </w:pPr>
            <w:r>
              <w:rPr>
                <w:sz w:val="18"/>
              </w:rPr>
              <w:t>Repay net debt and debt-like items</w:t>
            </w:r>
          </w:p>
        </w:tc>
        <w:tc>
          <w:tcPr>
            <w:tcW w:w="1240" w:type="dxa"/>
            <w:tcBorders>
              <w:bottom w:val="single" w:color="D9D9D9" w:sz="4" w:space="0"/>
            </w:tcBorders>
            <w:tcMar>
              <w:left w:w="60" w:type="dxa"/>
              <w:right w:w="60" w:type="dxa"/>
            </w:tcMar>
          </w:tcPr>
          <w:p>
            <w:pPr>
              <w:spacing w:before="20" w:after="20"/>
              <w:jc w:val="right"/>
              <w:rPr>
                <w:sz w:val="18"/>
              </w:rPr>
            </w:pPr>
            <w:bookmarkStart w:id="160" w:name="citei-c719"/>
            <w:r>
              <w:rPr>
                <w:sz w:val="18"/>
              </w:rPr>
              <w:t>1,584.0</w:t>
            </w:r>
            <w:bookmarkEnd w:id="160"/>
          </w:p>
        </w:tc>
        <w:tc>
          <w:tcPr>
            <w:tcW w:w="3360" w:type="dxa"/>
            <w:tcBorders>
              <w:bottom w:val="single" w:color="D9D9D9" w:sz="4" w:space="0"/>
            </w:tcBorders>
            <w:tcMar>
              <w:left w:w="60" w:type="dxa"/>
              <w:right w:w="60" w:type="dxa"/>
            </w:tcMar>
          </w:tcPr>
          <w:p>
            <w:pPr>
              <w:spacing w:before="20" w:after="20"/>
              <w:rPr>
                <w:sz w:val="18"/>
              </w:rPr>
            </w:pPr>
            <w:r>
              <w:rPr>
                <w:sz w:val="18"/>
              </w:rPr>
              <w:t>Sponsor equity</w:t>
            </w:r>
          </w:p>
        </w:tc>
        <w:tc>
          <w:tcPr>
            <w:tcW w:w="1240" w:type="dxa"/>
            <w:tcBorders>
              <w:bottom w:val="single" w:color="D9D9D9" w:sz="4" w:space="0"/>
            </w:tcBorders>
            <w:tcMar>
              <w:left w:w="60" w:type="dxa"/>
              <w:right w:w="60" w:type="dxa"/>
            </w:tcMar>
          </w:tcPr>
          <w:p>
            <w:pPr>
              <w:spacing w:before="20" w:after="20"/>
              <w:jc w:val="right"/>
              <w:rPr>
                <w:sz w:val="18"/>
              </w:rPr>
            </w:pPr>
            <w:bookmarkStart w:id="163" w:name="citei-c722"/>
            <w:r>
              <w:rPr>
                <w:sz w:val="18"/>
              </w:rPr>
              <w:t>3,444.1</w:t>
            </w:r>
            <w:bookmarkEnd w:id="163"/>
          </w:p>
        </w:tc>
      </w:tr>
      <w:tr>
        <w:tc>
          <w:tcPr>
            <w:tcW w:w="4000" w:type="dxa"/>
            <w:tcBorders>
              <w:bottom w:val="single" w:color="D9D9D9" w:sz="4" w:space="0"/>
            </w:tcBorders>
            <w:tcMar>
              <w:left w:w="60" w:type="dxa"/>
              <w:right w:w="60" w:type="dxa"/>
            </w:tcMar>
          </w:tcPr>
          <w:p>
            <w:pPr>
              <w:spacing w:before="20" w:after="20"/>
              <w:rPr>
                <w:sz w:val="18"/>
              </w:rPr>
            </w:pPr>
            <w:r>
              <w:rPr>
                <w:sz w:val="18"/>
              </w:rPr>
              <w:t>Arrangement fees (</w:t>
            </w:r>
            <w:bookmarkStart w:id="161" w:name="citei-c720"/>
            <w:r>
              <w:rPr>
                <w:sz w:val="18"/>
              </w:rPr>
              <w:t>2.25% / 1.75%</w:t>
            </w:r>
            <w:bookmarkEnd w:id="161"/>
            <w:r>
              <w:rPr>
                <w:sz w:val="18"/>
              </w:rPr>
              <w:t>)</w:t>
            </w:r>
          </w:p>
        </w:tc>
        <w:tc>
          <w:tcPr>
            <w:tcW w:w="1240" w:type="dxa"/>
            <w:tcBorders>
              <w:bottom w:val="single" w:color="D9D9D9" w:sz="4" w:space="0"/>
            </w:tcBorders>
            <w:tcMar>
              <w:left w:w="60" w:type="dxa"/>
              <w:right w:w="60" w:type="dxa"/>
            </w:tcMar>
          </w:tcPr>
          <w:p>
            <w:pPr>
              <w:spacing w:before="20" w:after="20"/>
              <w:jc w:val="right"/>
              <w:rPr>
                <w:sz w:val="18"/>
              </w:rPr>
            </w:pPr>
            <w:r>
              <w:rPr>
                <w:sz w:val="18"/>
              </w:rPr>
              <w:t>36.2</w:t>
            </w:r>
          </w:p>
        </w:tc>
        <w:tc>
          <w:tcPr>
            <w:tcW w:w="3360" w:type="dxa"/>
            <w:tcBorders>
              <w:bottom w:val="single" w:color="D9D9D9" w:sz="4" w:space="0"/>
            </w:tcBorders>
            <w:tcMar>
              <w:left w:w="60" w:type="dxa"/>
              <w:right w:w="60" w:type="dxa"/>
            </w:tcMar>
          </w:tcPr>
          <w:p>
            <w:pPr>
              <w:spacing w:before="20" w:after="20"/>
              <w:rPr>
                <w:sz w:val="18"/>
              </w:rPr>
            </w:pPr>
            <w:r>
              <w:rPr>
                <w:sz w:val="18"/>
              </w:rPr>
              <w:t/>
            </w:r>
          </w:p>
        </w:tc>
        <w:tc>
          <w:tcPr>
            <w:tcW w:w="1240" w:type="dxa"/>
            <w:tcBorders>
              <w:bottom w:val="single" w:color="D9D9D9" w:sz="4" w:space="0"/>
            </w:tcBorders>
            <w:tcMar>
              <w:left w:w="60" w:type="dxa"/>
              <w:right w:w="60" w:type="dxa"/>
            </w:tcMar>
          </w:tcPr>
          <w:p>
            <w:pPr>
              <w:spacing w:before="20" w:after="20"/>
              <w:jc w:val="right"/>
              <w:rPr>
                <w:sz w:val="18"/>
              </w:rPr>
            </w:pPr>
            <w:r>
              <w:rPr>
                <w:sz w:val="18"/>
              </w:rPr>
              <w:t/>
            </w:r>
          </w:p>
        </w:tc>
      </w:tr>
      <w:tr>
        <w:tc>
          <w:tcPr>
            <w:tcW w:w="4000" w:type="dxa"/>
            <w:tcBorders>
              <w:bottom w:val="single" w:color="D9D9D9" w:sz="4" w:space="0"/>
            </w:tcBorders>
            <w:tcMar>
              <w:left w:w="60" w:type="dxa"/>
              <w:right w:w="60" w:type="dxa"/>
            </w:tcMar>
          </w:tcPr>
          <w:p>
            <w:pPr>
              <w:spacing w:before="20" w:after="20"/>
              <w:rPr>
                <w:sz w:val="18"/>
              </w:rPr>
            </w:pPr>
            <w:r>
              <w:rPr>
                <w:sz w:val="18"/>
              </w:rPr>
              <w:t>Term loan OID</w:t>
            </w:r>
          </w:p>
        </w:tc>
        <w:tc>
          <w:tcPr>
            <w:tcW w:w="1240" w:type="dxa"/>
            <w:tcBorders>
              <w:bottom w:val="single" w:color="D9D9D9" w:sz="4" w:space="0"/>
            </w:tcBorders>
            <w:tcMar>
              <w:left w:w="60" w:type="dxa"/>
              <w:right w:w="60" w:type="dxa"/>
            </w:tcMar>
          </w:tcPr>
          <w:p>
            <w:pPr>
              <w:spacing w:before="20" w:after="20"/>
              <w:jc w:val="right"/>
              <w:rPr>
                <w:sz w:val="18"/>
              </w:rPr>
            </w:pPr>
            <w:r>
              <w:rPr>
                <w:sz w:val="18"/>
              </w:rPr>
              <w:t>12.4</w:t>
            </w:r>
          </w:p>
        </w:tc>
        <w:tc>
          <w:tcPr>
            <w:tcW w:w="3360" w:type="dxa"/>
            <w:tcBorders>
              <w:bottom w:val="single" w:color="D9D9D9" w:sz="4" w:space="0"/>
            </w:tcBorders>
            <w:tcMar>
              <w:left w:w="60" w:type="dxa"/>
              <w:right w:w="60" w:type="dxa"/>
            </w:tcMar>
          </w:tcPr>
          <w:p>
            <w:pPr>
              <w:spacing w:before="20" w:after="20"/>
              <w:rPr>
                <w:sz w:val="18"/>
              </w:rPr>
            </w:pPr>
            <w:r>
              <w:rPr>
                <w:sz w:val="18"/>
              </w:rPr>
              <w:t/>
            </w:r>
          </w:p>
        </w:tc>
        <w:tc>
          <w:tcPr>
            <w:tcW w:w="1240" w:type="dxa"/>
            <w:tcBorders>
              <w:bottom w:val="single" w:color="D9D9D9" w:sz="4" w:space="0"/>
            </w:tcBorders>
            <w:tcMar>
              <w:left w:w="60" w:type="dxa"/>
              <w:right w:w="60" w:type="dxa"/>
            </w:tcMar>
          </w:tcPr>
          <w:p>
            <w:pPr>
              <w:spacing w:before="20" w:after="20"/>
              <w:jc w:val="right"/>
              <w:rPr>
                <w:sz w:val="18"/>
              </w:rPr>
            </w:pPr>
            <w:r>
              <w:rPr>
                <w:sz w:val="18"/>
              </w:rPr>
              <w:t/>
            </w:r>
          </w:p>
        </w:tc>
      </w:tr>
      <w:tr>
        <w:tc>
          <w:tcPr>
            <w:tcW w:w="4000" w:type="dxa"/>
            <w:tcBorders>
              <w:bottom w:val="single" w:color="D9D9D9" w:sz="4" w:space="0"/>
            </w:tcBorders>
            <w:tcMar>
              <w:left w:w="60" w:type="dxa"/>
              <w:right w:w="60" w:type="dxa"/>
            </w:tcMar>
          </w:tcPr>
          <w:p>
            <w:pPr>
              <w:spacing w:before="20" w:after="20"/>
              <w:rPr>
                <w:sz w:val="18"/>
              </w:rPr>
            </w:pPr>
            <w:r>
              <w:rPr>
                <w:sz w:val="18"/>
              </w:rPr>
              <w:t>Buyer transaction costs (1% of EV, assumption)</w:t>
            </w:r>
          </w:p>
        </w:tc>
        <w:tc>
          <w:tcPr>
            <w:tcW w:w="1240" w:type="dxa"/>
            <w:tcBorders>
              <w:bottom w:val="single" w:color="D9D9D9" w:sz="4" w:space="0"/>
            </w:tcBorders>
            <w:tcMar>
              <w:left w:w="60" w:type="dxa"/>
              <w:right w:w="60" w:type="dxa"/>
            </w:tcMar>
          </w:tcPr>
          <w:p>
            <w:pPr>
              <w:spacing w:before="20" w:after="20"/>
              <w:jc w:val="right"/>
              <w:rPr>
                <w:sz w:val="18"/>
              </w:rPr>
            </w:pPr>
            <w:r>
              <w:rPr>
                <w:sz w:val="18"/>
              </w:rPr>
              <w:t>45.9</w:t>
            </w:r>
          </w:p>
        </w:tc>
        <w:tc>
          <w:tcPr>
            <w:tcW w:w="3360" w:type="dxa"/>
            <w:tcBorders>
              <w:bottom w:val="single" w:color="D9D9D9" w:sz="4" w:space="0"/>
            </w:tcBorders>
            <w:tcMar>
              <w:left w:w="60" w:type="dxa"/>
              <w:right w:w="60" w:type="dxa"/>
            </w:tcMar>
          </w:tcPr>
          <w:p>
            <w:pPr>
              <w:spacing w:before="20" w:after="20"/>
              <w:rPr>
                <w:sz w:val="18"/>
              </w:rPr>
            </w:pPr>
            <w:r>
              <w:rPr>
                <w:sz w:val="18"/>
              </w:rPr>
              <w:t/>
            </w:r>
          </w:p>
        </w:tc>
        <w:tc>
          <w:tcPr>
            <w:tcW w:w="1240" w:type="dxa"/>
            <w:tcBorders>
              <w:bottom w:val="single" w:color="D9D9D9" w:sz="4" w:space="0"/>
            </w:tcBorders>
            <w:tcMar>
              <w:left w:w="60" w:type="dxa"/>
              <w:right w:w="60" w:type="dxa"/>
            </w:tcMar>
          </w:tcPr>
          <w:p>
            <w:pPr>
              <w:spacing w:before="20" w:after="20"/>
              <w:jc w:val="right"/>
              <w:rPr>
                <w:sz w:val="18"/>
              </w:rPr>
            </w:pPr>
            <w:r>
              <w:rPr>
                <w:sz w:val="18"/>
              </w:rPr>
              <w:t/>
            </w:r>
          </w:p>
        </w:tc>
      </w:tr>
      <w:tr>
        <w:tc>
          <w:tcPr>
            <w:tcW w:w="4000" w:type="dxa"/>
            <w:tcBorders>
              <w:bottom w:val="single" w:color="D9D9D9" w:sz="4" w:space="0"/>
            </w:tcBorders>
            <w:tcMar>
              <w:left w:w="60" w:type="dxa"/>
              <w:right w:w="60" w:type="dxa"/>
            </w:tcMar>
          </w:tcPr>
          <w:p>
            <w:pPr>
              <w:spacing w:before="20" w:after="20"/>
              <w:rPr>
                <w:b/>
                <w:sz w:val="18"/>
              </w:rPr>
            </w:pPr>
            <w:r>
              <w:rPr>
                <w:b/>
                <w:sz w:val="18"/>
              </w:rPr>
              <w:t>Total uses</w:t>
            </w:r>
          </w:p>
        </w:tc>
        <w:tc>
          <w:tcPr>
            <w:tcW w:w="1240" w:type="dxa"/>
            <w:tcBorders>
              <w:bottom w:val="single" w:color="D9D9D9" w:sz="4" w:space="0"/>
            </w:tcBorders>
            <w:tcMar>
              <w:left w:w="60" w:type="dxa"/>
              <w:right w:w="60" w:type="dxa"/>
            </w:tcMar>
          </w:tcPr>
          <w:p>
            <w:pPr>
              <w:spacing w:before="20" w:after="20"/>
              <w:jc w:val="right"/>
              <w:rPr>
                <w:b/>
                <w:sz w:val="18"/>
              </w:rPr>
            </w:pPr>
            <w:bookmarkStart w:id="162" w:name="citei-c721"/>
            <w:r>
              <w:rPr>
                <w:b/>
                <w:sz w:val="18"/>
              </w:rPr>
              <w:t>4,685.5</w:t>
            </w:r>
            <w:bookmarkEnd w:id="162"/>
          </w:p>
        </w:tc>
        <w:tc>
          <w:tcPr>
            <w:tcW w:w="3360" w:type="dxa"/>
            <w:tcBorders>
              <w:bottom w:val="single" w:color="D9D9D9" w:sz="4" w:space="0"/>
            </w:tcBorders>
            <w:tcMar>
              <w:left w:w="60" w:type="dxa"/>
              <w:right w:w="60" w:type="dxa"/>
            </w:tcMar>
          </w:tcPr>
          <w:p>
            <w:pPr>
              <w:spacing w:before="20" w:after="20"/>
              <w:rPr>
                <w:b/>
                <w:sz w:val="18"/>
              </w:rPr>
            </w:pPr>
            <w:r>
              <w:rPr>
                <w:b/>
                <w:sz w:val="18"/>
              </w:rPr>
              <w:t>Total sources</w:t>
            </w:r>
          </w:p>
        </w:tc>
        <w:tc>
          <w:tcPr>
            <w:tcW w:w="1240" w:type="dxa"/>
            <w:tcBorders>
              <w:bottom w:val="single" w:color="D9D9D9" w:sz="4" w:space="0"/>
            </w:tcBorders>
            <w:tcMar>
              <w:left w:w="60" w:type="dxa"/>
              <w:right w:w="60" w:type="dxa"/>
            </w:tcMar>
          </w:tcPr>
          <w:p>
            <w:pPr>
              <w:spacing w:before="20" w:after="20"/>
              <w:jc w:val="right"/>
              <w:rPr>
                <w:b/>
                <w:sz w:val="18"/>
              </w:rPr>
            </w:pPr>
            <w:r>
              <w:rPr>
                <w:b/>
                <w:sz w:val="18"/>
              </w:rPr>
              <w:t>4,685.5</w:t>
            </w:r>
          </w:p>
        </w:tc>
      </w:tr>
    </w:tbl>
    <w:p>
      <w:pPr>
        <w:spacing w:after="40"/>
      </w:pPr>
      <w:r>
        <w:t/>
      </w:r>
    </w:p>
    <w:p>
      <w:pPr>
        <w:pStyle w:val="Normal"/>
        <w:spacing w:before="0" w:after="100"/>
      </w:pPr>
      <w:r>
        <w:t xml:space="preserve">Sponsor equity is </w:t>
      </w:r>
      <w:bookmarkStart w:id="164" w:name="citei-c723"/>
      <w:r>
        <w:t>73.5%</w:t>
      </w:r>
      <w:bookmarkEnd w:id="164"/>
      <w:r>
        <w:t xml:space="preserve"> of capitalization against the staple's </w:t>
      </w:r>
      <w:bookmarkStart w:id="165" w:name="citei-c724"/>
      <w:r>
        <w:t>40% minimum</w:t>
      </w:r>
      <w:bookmarkEnd w:id="165"/>
      <w:r>
        <w:t>. Net debt is on the 31-Dec-25 basis; the closing statement trues it up, so the split between equity price and debt repayment moves while the enterprise value does not.</w:t>
      </w:r>
    </w:p>
    <w:p>
      <w:pPr>
        <w:pStyle w:val="Heading2"/>
        <w:keepNext/>
        <w:spacing w:before="120" w:after="60"/>
      </w:pPr>
      <w:r>
        <w:t>Returns</w:t>
      </w:r>
    </w:p>
    <w:p>
      <w:pPr>
        <w:pStyle w:val="Normal"/>
        <w:spacing w:before="0" w:after="100"/>
      </w:pPr>
      <w:r>
        <w:t xml:space="preserve">Base case: the operating portfolio grows at 2.5% a year (the low end of </w:t>
      </w:r>
      <w:bookmarkStart w:id="166" w:name="citei-c725"/>
      <w:r>
        <w:t>2.5% to 3.0% escalators</w:t>
      </w:r>
      <w:bookmarkEnd w:id="166"/>
      <w:r>
        <w:t xml:space="preserve">), hyperscale leases renew at </w:t>
      </w:r>
      <w:bookmarkStart w:id="167" w:name="citei-c726"/>
      <w:r>
        <w:t>95% of fair market rent</w:t>
      </w:r>
      <w:bookmarkEnd w:id="167"/>
      <w:r>
        <w:t xml:space="preserve"> on recent deal pricing, capacity in flight ramps to </w:t>
      </w:r>
      <w:bookmarkStart w:id="168" w:name="citei-c727"/>
      <w:r>
        <w:t>$99.0M</w:t>
      </w:r>
      <w:bookmarkEnd w:id="168"/>
      <w:r>
        <w:t xml:space="preserve"> of EBITDA by FY30, and excess cash sweeps the term loan. Straight-line rent and capitalized leasing commissions come out of cash flow. There is </w:t>
      </w:r>
      <w:bookmarkStart w:id="169" w:name="citei-c728"/>
      <w:r>
        <w:t>no entity-level income tax</w:t>
      </w:r>
      <w:bookmarkEnd w:id="169"/>
      <w:r>
        <w:t xml:space="preserve"> because the Company is a disregarded LLC; the equity purchase is </w:t>
      </w:r>
      <w:bookmarkStart w:id="170" w:name="citei-c729"/>
      <w:r>
        <w:t>treated as an asset purchase for tax</w:t>
      </w:r>
      <w:bookmarkEnd w:id="170"/>
      <w:r>
        <w:t>. Exit is at 17.7x, our low-case entry multiple, with 1% exit costs.</w:t>
      </w:r>
    </w:p>
    <w:tbl>
      <w:tblPr>
        <w:tblW w:w="9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
      <w:tblGrid>
        <w:gridCol w:w="1440"/>
        <w:gridCol w:w="1440"/>
        <w:gridCol w:w="1440"/>
        <w:gridCol w:w="1440"/>
        <w:gridCol w:w="1440"/>
        <w:gridCol w:w="1440"/>
      </w:tblGrid>
      <w:tr>
        <w:trPr>
          <w:tblHeader/>
        </w:trPr>
        <w:tc>
          <w:tcPr>
            <w:tcW w:w="3440" w:type="dxa"/>
            <w:tcBorders>
              <w:bottom w:val="single" w:color="D9D9D9" w:sz="4" w:space="0"/>
            </w:tcBorders>
            <w:shd w:val="clear" w:fill="F2F0EC"/>
            <w:tcMar>
              <w:left w:w="60" w:type="dxa"/>
              <w:right w:w="60" w:type="dxa"/>
            </w:tcMar>
          </w:tcPr>
          <w:p>
            <w:pPr>
              <w:spacing w:before="20" w:after="20"/>
              <w:rPr>
                <w:b/>
                <w:sz w:val="18"/>
              </w:rPr>
            </w:pPr>
            <w:r>
              <w:rPr>
                <w:b/>
                <w:sz w:val="18"/>
              </w:rPr>
              <w:t>$M, fiscal year</w:t>
            </w:r>
          </w:p>
        </w:tc>
        <w:tc>
          <w:tcPr>
            <w:tcW w:w="1280" w:type="dxa"/>
            <w:tcBorders>
              <w:bottom w:val="single" w:color="D9D9D9" w:sz="4" w:space="0"/>
            </w:tcBorders>
            <w:shd w:val="clear" w:fill="F2F0EC"/>
            <w:tcMar>
              <w:left w:w="60" w:type="dxa"/>
              <w:right w:w="60" w:type="dxa"/>
            </w:tcMar>
          </w:tcPr>
          <w:p>
            <w:pPr>
              <w:spacing w:before="20" w:after="20"/>
              <w:jc w:val="right"/>
              <w:rPr>
                <w:b/>
                <w:sz w:val="18"/>
              </w:rPr>
            </w:pPr>
            <w:r>
              <w:rPr>
                <w:b/>
                <w:sz w:val="18"/>
              </w:rPr>
              <w:t>FY27E</w:t>
            </w:r>
          </w:p>
        </w:tc>
        <w:tc>
          <w:tcPr>
            <w:tcW w:w="1280" w:type="dxa"/>
            <w:tcBorders>
              <w:bottom w:val="single" w:color="D9D9D9" w:sz="4" w:space="0"/>
            </w:tcBorders>
            <w:shd w:val="clear" w:fill="F2F0EC"/>
            <w:tcMar>
              <w:left w:w="60" w:type="dxa"/>
              <w:right w:w="60" w:type="dxa"/>
            </w:tcMar>
          </w:tcPr>
          <w:p>
            <w:pPr>
              <w:spacing w:before="20" w:after="20"/>
              <w:jc w:val="right"/>
              <w:rPr>
                <w:b/>
                <w:sz w:val="18"/>
              </w:rPr>
            </w:pPr>
            <w:r>
              <w:rPr>
                <w:b/>
                <w:sz w:val="18"/>
              </w:rPr>
              <w:t>FY28E</w:t>
            </w:r>
          </w:p>
        </w:tc>
        <w:tc>
          <w:tcPr>
            <w:tcW w:w="1280" w:type="dxa"/>
            <w:tcBorders>
              <w:bottom w:val="single" w:color="D9D9D9" w:sz="4" w:space="0"/>
            </w:tcBorders>
            <w:shd w:val="clear" w:fill="F2F0EC"/>
            <w:tcMar>
              <w:left w:w="60" w:type="dxa"/>
              <w:right w:w="60" w:type="dxa"/>
            </w:tcMar>
          </w:tcPr>
          <w:p>
            <w:pPr>
              <w:spacing w:before="20" w:after="20"/>
              <w:jc w:val="right"/>
              <w:rPr>
                <w:b/>
                <w:sz w:val="18"/>
              </w:rPr>
            </w:pPr>
            <w:r>
              <w:rPr>
                <w:b/>
                <w:sz w:val="18"/>
              </w:rPr>
              <w:t>FY29E</w:t>
            </w:r>
          </w:p>
        </w:tc>
        <w:tc>
          <w:tcPr>
            <w:tcW w:w="1280" w:type="dxa"/>
            <w:tcBorders>
              <w:bottom w:val="single" w:color="D9D9D9" w:sz="4" w:space="0"/>
            </w:tcBorders>
            <w:shd w:val="clear" w:fill="F2F0EC"/>
            <w:tcMar>
              <w:left w:w="60" w:type="dxa"/>
              <w:right w:w="60" w:type="dxa"/>
            </w:tcMar>
          </w:tcPr>
          <w:p>
            <w:pPr>
              <w:spacing w:before="20" w:after="20"/>
              <w:jc w:val="right"/>
              <w:rPr>
                <w:b/>
                <w:sz w:val="18"/>
              </w:rPr>
            </w:pPr>
            <w:r>
              <w:rPr>
                <w:b/>
                <w:sz w:val="18"/>
              </w:rPr>
              <w:t>FY30E</w:t>
            </w:r>
          </w:p>
        </w:tc>
        <w:tc>
          <w:tcPr>
            <w:tcW w:w="1280" w:type="dxa"/>
            <w:tcBorders>
              <w:bottom w:val="single" w:color="D9D9D9" w:sz="4" w:space="0"/>
            </w:tcBorders>
            <w:shd w:val="clear" w:fill="F2F0EC"/>
            <w:tcMar>
              <w:left w:w="60" w:type="dxa"/>
              <w:right w:w="60" w:type="dxa"/>
            </w:tcMar>
          </w:tcPr>
          <w:p>
            <w:pPr>
              <w:spacing w:before="20" w:after="20"/>
              <w:jc w:val="right"/>
              <w:rPr>
                <w:b/>
                <w:sz w:val="18"/>
              </w:rPr>
            </w:pPr>
            <w:r>
              <w:rPr>
                <w:b/>
                <w:sz w:val="18"/>
              </w:rPr>
              <w:t>FY31E</w:t>
            </w:r>
          </w:p>
        </w:tc>
      </w:tr>
      <w:tr>
        <w:tc>
          <w:tcPr>
            <w:tcW w:w="3440" w:type="dxa"/>
            <w:tcBorders>
              <w:bottom w:val="single" w:color="D9D9D9" w:sz="4" w:space="0"/>
            </w:tcBorders>
            <w:tcMar>
              <w:left w:w="60" w:type="dxa"/>
              <w:right w:w="60" w:type="dxa"/>
            </w:tcMar>
          </w:tcPr>
          <w:p>
            <w:pPr>
              <w:spacing w:before="20" w:after="20"/>
              <w:rPr>
                <w:sz w:val="18"/>
              </w:rPr>
            </w:pPr>
            <w:bookmarkStart w:id="171" w:name="citei-c730"/>
            <w:r>
              <w:rPr>
                <w:sz w:val="18"/>
              </w:rPr>
              <w:t>Buyer EBITDA</w:t>
            </w:r>
            <w:bookmarkEnd w:id="171"/>
          </w:p>
        </w:tc>
        <w:tc>
          <w:tcPr>
            <w:tcW w:w="1280" w:type="dxa"/>
            <w:tcBorders>
              <w:bottom w:val="single" w:color="D9D9D9" w:sz="4" w:space="0"/>
            </w:tcBorders>
            <w:tcMar>
              <w:left w:w="60" w:type="dxa"/>
              <w:right w:w="60" w:type="dxa"/>
            </w:tcMar>
          </w:tcPr>
          <w:p>
            <w:pPr>
              <w:spacing w:before="20" w:after="20"/>
              <w:jc w:val="right"/>
              <w:rPr>
                <w:sz w:val="18"/>
              </w:rPr>
            </w:pPr>
            <w:r>
              <w:rPr>
                <w:sz w:val="18"/>
              </w:rPr>
              <w:t>257.0</w:t>
            </w:r>
          </w:p>
        </w:tc>
        <w:tc>
          <w:tcPr>
            <w:tcW w:w="1280" w:type="dxa"/>
            <w:tcBorders>
              <w:bottom w:val="single" w:color="D9D9D9" w:sz="4" w:space="0"/>
            </w:tcBorders>
            <w:tcMar>
              <w:left w:w="60" w:type="dxa"/>
              <w:right w:w="60" w:type="dxa"/>
            </w:tcMar>
          </w:tcPr>
          <w:p>
            <w:pPr>
              <w:spacing w:before="20" w:after="20"/>
              <w:jc w:val="right"/>
              <w:rPr>
                <w:sz w:val="18"/>
              </w:rPr>
            </w:pPr>
            <w:r>
              <w:rPr>
                <w:sz w:val="18"/>
              </w:rPr>
              <w:t>297.0</w:t>
            </w:r>
          </w:p>
        </w:tc>
        <w:tc>
          <w:tcPr>
            <w:tcW w:w="1280" w:type="dxa"/>
            <w:tcBorders>
              <w:bottom w:val="single" w:color="D9D9D9" w:sz="4" w:space="0"/>
            </w:tcBorders>
            <w:tcMar>
              <w:left w:w="60" w:type="dxa"/>
              <w:right w:w="60" w:type="dxa"/>
            </w:tcMar>
          </w:tcPr>
          <w:p>
            <w:pPr>
              <w:spacing w:before="20" w:after="20"/>
              <w:jc w:val="right"/>
              <w:rPr>
                <w:sz w:val="18"/>
              </w:rPr>
            </w:pPr>
            <w:r>
              <w:rPr>
                <w:sz w:val="18"/>
              </w:rPr>
              <w:t>318.7</w:t>
            </w:r>
          </w:p>
        </w:tc>
        <w:tc>
          <w:tcPr>
            <w:tcW w:w="1280" w:type="dxa"/>
            <w:tcBorders>
              <w:bottom w:val="single" w:color="D9D9D9" w:sz="4" w:space="0"/>
            </w:tcBorders>
            <w:tcMar>
              <w:left w:w="60" w:type="dxa"/>
              <w:right w:w="60" w:type="dxa"/>
            </w:tcMar>
          </w:tcPr>
          <w:p>
            <w:pPr>
              <w:spacing w:before="20" w:after="20"/>
              <w:jc w:val="right"/>
              <w:rPr>
                <w:sz w:val="18"/>
              </w:rPr>
            </w:pPr>
            <w:r>
              <w:rPr>
                <w:sz w:val="18"/>
              </w:rPr>
              <w:t>329.3</w:t>
            </w:r>
          </w:p>
        </w:tc>
        <w:tc>
          <w:tcPr>
            <w:tcW w:w="1280" w:type="dxa"/>
            <w:tcBorders>
              <w:bottom w:val="single" w:color="D9D9D9" w:sz="4" w:space="0"/>
            </w:tcBorders>
            <w:tcMar>
              <w:left w:w="60" w:type="dxa"/>
              <w:right w:w="60" w:type="dxa"/>
            </w:tcMar>
          </w:tcPr>
          <w:p>
            <w:pPr>
              <w:spacing w:before="20" w:after="20"/>
              <w:jc w:val="right"/>
              <w:rPr>
                <w:sz w:val="18"/>
              </w:rPr>
            </w:pPr>
            <w:r>
              <w:rPr>
                <w:sz w:val="18"/>
              </w:rPr>
              <w:t>335.2</w:t>
            </w:r>
          </w:p>
        </w:tc>
      </w:tr>
      <w:tr>
        <w:tc>
          <w:tcPr>
            <w:tcW w:w="3440" w:type="dxa"/>
            <w:tcBorders>
              <w:bottom w:val="single" w:color="D9D9D9" w:sz="4" w:space="0"/>
            </w:tcBorders>
            <w:tcMar>
              <w:left w:w="60" w:type="dxa"/>
              <w:right w:w="60" w:type="dxa"/>
            </w:tcMar>
          </w:tcPr>
          <w:p>
            <w:pPr>
              <w:spacing w:before="20" w:after="20"/>
              <w:rPr>
                <w:sz w:val="18"/>
              </w:rPr>
            </w:pPr>
            <w:bookmarkStart w:id="172" w:name="citei-c731"/>
            <w:r>
              <w:rPr>
                <w:sz w:val="18"/>
              </w:rPr>
              <w:t>Net debt at year end</w:t>
            </w:r>
            <w:bookmarkEnd w:id="172"/>
          </w:p>
        </w:tc>
        <w:tc>
          <w:tcPr>
            <w:tcW w:w="1280" w:type="dxa"/>
            <w:tcBorders>
              <w:bottom w:val="single" w:color="D9D9D9" w:sz="4" w:space="0"/>
            </w:tcBorders>
            <w:tcMar>
              <w:left w:w="60" w:type="dxa"/>
              <w:right w:w="60" w:type="dxa"/>
            </w:tcMar>
          </w:tcPr>
          <w:p>
            <w:pPr>
              <w:spacing w:before="20" w:after="20"/>
              <w:jc w:val="right"/>
              <w:rPr>
                <w:sz w:val="18"/>
              </w:rPr>
            </w:pPr>
            <w:r>
              <w:rPr>
                <w:sz w:val="18"/>
              </w:rPr>
              <w:t>1,261.6</w:t>
            </w:r>
          </w:p>
        </w:tc>
        <w:tc>
          <w:tcPr>
            <w:tcW w:w="1280" w:type="dxa"/>
            <w:tcBorders>
              <w:bottom w:val="single" w:color="D9D9D9" w:sz="4" w:space="0"/>
            </w:tcBorders>
            <w:tcMar>
              <w:left w:w="60" w:type="dxa"/>
              <w:right w:w="60" w:type="dxa"/>
            </w:tcMar>
          </w:tcPr>
          <w:p>
            <w:pPr>
              <w:spacing w:before="20" w:after="20"/>
              <w:jc w:val="right"/>
              <w:rPr>
                <w:sz w:val="18"/>
              </w:rPr>
            </w:pPr>
            <w:r>
              <w:rPr>
                <w:sz w:val="18"/>
              </w:rPr>
              <w:t>1,084.8</w:t>
            </w:r>
          </w:p>
        </w:tc>
        <w:tc>
          <w:tcPr>
            <w:tcW w:w="1280" w:type="dxa"/>
            <w:tcBorders>
              <w:bottom w:val="single" w:color="D9D9D9" w:sz="4" w:space="0"/>
            </w:tcBorders>
            <w:tcMar>
              <w:left w:w="60" w:type="dxa"/>
              <w:right w:w="60" w:type="dxa"/>
            </w:tcMar>
          </w:tcPr>
          <w:p>
            <w:pPr>
              <w:spacing w:before="20" w:after="20"/>
              <w:jc w:val="right"/>
              <w:rPr>
                <w:sz w:val="18"/>
              </w:rPr>
            </w:pPr>
            <w:r>
              <w:rPr>
                <w:sz w:val="18"/>
              </w:rPr>
              <w:t>875.5</w:t>
            </w:r>
          </w:p>
        </w:tc>
        <w:tc>
          <w:tcPr>
            <w:tcW w:w="1280" w:type="dxa"/>
            <w:tcBorders>
              <w:bottom w:val="single" w:color="D9D9D9" w:sz="4" w:space="0"/>
            </w:tcBorders>
            <w:tcMar>
              <w:left w:w="60" w:type="dxa"/>
              <w:right w:w="60" w:type="dxa"/>
            </w:tcMar>
          </w:tcPr>
          <w:p>
            <w:pPr>
              <w:spacing w:before="20" w:after="20"/>
              <w:jc w:val="right"/>
              <w:rPr>
                <w:sz w:val="18"/>
              </w:rPr>
            </w:pPr>
            <w:r>
              <w:rPr>
                <w:sz w:val="18"/>
              </w:rPr>
              <w:t>642.4</w:t>
            </w:r>
          </w:p>
        </w:tc>
        <w:tc>
          <w:tcPr>
            <w:tcW w:w="1280" w:type="dxa"/>
            <w:tcBorders>
              <w:bottom w:val="single" w:color="D9D9D9" w:sz="4" w:space="0"/>
            </w:tcBorders>
            <w:tcMar>
              <w:left w:w="60" w:type="dxa"/>
              <w:right w:w="60" w:type="dxa"/>
            </w:tcMar>
          </w:tcPr>
          <w:p>
            <w:pPr>
              <w:spacing w:before="20" w:after="20"/>
              <w:jc w:val="right"/>
              <w:rPr>
                <w:sz w:val="18"/>
              </w:rPr>
            </w:pPr>
            <w:r>
              <w:rPr>
                <w:sz w:val="18"/>
              </w:rPr>
              <w:t>388.2</w:t>
            </w:r>
          </w:p>
        </w:tc>
      </w:tr>
      <w:tr>
        <w:tc>
          <w:tcPr>
            <w:tcW w:w="3440" w:type="dxa"/>
            <w:tcBorders>
              <w:bottom w:val="single" w:color="D9D9D9" w:sz="4" w:space="0"/>
            </w:tcBorders>
            <w:tcMar>
              <w:left w:w="60" w:type="dxa"/>
              <w:right w:w="60" w:type="dxa"/>
            </w:tcMar>
          </w:tcPr>
          <w:p>
            <w:pPr>
              <w:spacing w:before="20" w:after="20"/>
              <w:rPr>
                <w:sz w:val="18"/>
              </w:rPr>
            </w:pPr>
            <w:r>
              <w:rPr>
                <w:sz w:val="18"/>
              </w:rPr>
              <w:t>Net debt / EBITDA</w:t>
            </w:r>
          </w:p>
        </w:tc>
        <w:tc>
          <w:tcPr>
            <w:tcW w:w="1280" w:type="dxa"/>
            <w:tcBorders>
              <w:bottom w:val="single" w:color="D9D9D9" w:sz="4" w:space="0"/>
            </w:tcBorders>
            <w:tcMar>
              <w:left w:w="60" w:type="dxa"/>
              <w:right w:w="60" w:type="dxa"/>
            </w:tcMar>
          </w:tcPr>
          <w:p>
            <w:pPr>
              <w:spacing w:before="20" w:after="20"/>
              <w:jc w:val="right"/>
              <w:rPr>
                <w:sz w:val="18"/>
              </w:rPr>
            </w:pPr>
            <w:r>
              <w:rPr>
                <w:sz w:val="18"/>
              </w:rPr>
              <w:t>4.9x</w:t>
            </w:r>
          </w:p>
        </w:tc>
        <w:tc>
          <w:tcPr>
            <w:tcW w:w="1280" w:type="dxa"/>
            <w:tcBorders>
              <w:bottom w:val="single" w:color="D9D9D9" w:sz="4" w:space="0"/>
            </w:tcBorders>
            <w:tcMar>
              <w:left w:w="60" w:type="dxa"/>
              <w:right w:w="60" w:type="dxa"/>
            </w:tcMar>
          </w:tcPr>
          <w:p>
            <w:pPr>
              <w:spacing w:before="20" w:after="20"/>
              <w:jc w:val="right"/>
              <w:rPr>
                <w:sz w:val="18"/>
              </w:rPr>
            </w:pPr>
            <w:r>
              <w:rPr>
                <w:sz w:val="18"/>
              </w:rPr>
              <w:t>3.7x</w:t>
            </w:r>
          </w:p>
        </w:tc>
        <w:tc>
          <w:tcPr>
            <w:tcW w:w="1280" w:type="dxa"/>
            <w:tcBorders>
              <w:bottom w:val="single" w:color="D9D9D9" w:sz="4" w:space="0"/>
            </w:tcBorders>
            <w:tcMar>
              <w:left w:w="60" w:type="dxa"/>
              <w:right w:w="60" w:type="dxa"/>
            </w:tcMar>
          </w:tcPr>
          <w:p>
            <w:pPr>
              <w:spacing w:before="20" w:after="20"/>
              <w:jc w:val="right"/>
              <w:rPr>
                <w:sz w:val="18"/>
              </w:rPr>
            </w:pPr>
            <w:r>
              <w:rPr>
                <w:sz w:val="18"/>
              </w:rPr>
              <w:t>2.7x</w:t>
            </w:r>
          </w:p>
        </w:tc>
        <w:tc>
          <w:tcPr>
            <w:tcW w:w="1280" w:type="dxa"/>
            <w:tcBorders>
              <w:bottom w:val="single" w:color="D9D9D9" w:sz="4" w:space="0"/>
            </w:tcBorders>
            <w:tcMar>
              <w:left w:w="60" w:type="dxa"/>
              <w:right w:w="60" w:type="dxa"/>
            </w:tcMar>
          </w:tcPr>
          <w:p>
            <w:pPr>
              <w:spacing w:before="20" w:after="20"/>
              <w:jc w:val="right"/>
              <w:rPr>
                <w:sz w:val="18"/>
              </w:rPr>
            </w:pPr>
            <w:r>
              <w:rPr>
                <w:sz w:val="18"/>
              </w:rPr>
              <w:t>2.0x</w:t>
            </w:r>
          </w:p>
        </w:tc>
        <w:tc>
          <w:tcPr>
            <w:tcW w:w="1280" w:type="dxa"/>
            <w:tcBorders>
              <w:bottom w:val="single" w:color="D9D9D9" w:sz="4" w:space="0"/>
            </w:tcBorders>
            <w:tcMar>
              <w:left w:w="60" w:type="dxa"/>
              <w:right w:w="60" w:type="dxa"/>
            </w:tcMar>
          </w:tcPr>
          <w:p>
            <w:pPr>
              <w:spacing w:before="20" w:after="20"/>
              <w:jc w:val="right"/>
              <w:rPr>
                <w:sz w:val="18"/>
              </w:rPr>
            </w:pPr>
            <w:r>
              <w:rPr>
                <w:sz w:val="18"/>
              </w:rPr>
              <w:t>1.2x</w:t>
            </w:r>
          </w:p>
        </w:tc>
      </w:tr>
      <w:tr>
        <w:tc>
          <w:tcPr>
            <w:tcW w:w="3440" w:type="dxa"/>
            <w:tcBorders>
              <w:bottom w:val="single" w:color="D9D9D9" w:sz="4" w:space="0"/>
            </w:tcBorders>
            <w:tcMar>
              <w:left w:w="60" w:type="dxa"/>
              <w:right w:w="60" w:type="dxa"/>
            </w:tcMar>
          </w:tcPr>
          <w:p>
            <w:pPr>
              <w:spacing w:before="20" w:after="20"/>
              <w:rPr>
                <w:sz w:val="18"/>
              </w:rPr>
            </w:pPr>
            <w:bookmarkStart w:id="173" w:name="citei-c732"/>
            <w:r>
              <w:rPr>
                <w:sz w:val="18"/>
              </w:rPr>
              <w:t>Sponsor equity value if exited</w:t>
            </w:r>
            <w:bookmarkEnd w:id="173"/>
          </w:p>
        </w:tc>
        <w:tc>
          <w:tcPr>
            <w:tcW w:w="1280" w:type="dxa"/>
            <w:tcBorders>
              <w:bottom w:val="single" w:color="D9D9D9" w:sz="4" w:space="0"/>
            </w:tcBorders>
            <w:tcMar>
              <w:left w:w="60" w:type="dxa"/>
              <w:right w:w="60" w:type="dxa"/>
            </w:tcMar>
          </w:tcPr>
          <w:p>
            <w:pPr>
              <w:spacing w:before="20" w:after="20"/>
              <w:jc w:val="right"/>
              <w:rPr>
                <w:sz w:val="18"/>
              </w:rPr>
            </w:pPr>
            <w:r>
              <w:rPr>
                <w:sz w:val="18"/>
              </w:rPr>
              <w:t>3,241.1</w:t>
            </w:r>
          </w:p>
        </w:tc>
        <w:tc>
          <w:tcPr>
            <w:tcW w:w="1280" w:type="dxa"/>
            <w:tcBorders>
              <w:bottom w:val="single" w:color="D9D9D9" w:sz="4" w:space="0"/>
            </w:tcBorders>
            <w:tcMar>
              <w:left w:w="60" w:type="dxa"/>
              <w:right w:w="60" w:type="dxa"/>
            </w:tcMar>
          </w:tcPr>
          <w:p>
            <w:pPr>
              <w:spacing w:before="20" w:after="20"/>
              <w:jc w:val="right"/>
              <w:rPr>
                <w:sz w:val="18"/>
              </w:rPr>
            </w:pPr>
            <w:r>
              <w:rPr>
                <w:sz w:val="18"/>
              </w:rPr>
              <w:t>4,120.0</w:t>
            </w:r>
          </w:p>
        </w:tc>
        <w:tc>
          <w:tcPr>
            <w:tcW w:w="1280" w:type="dxa"/>
            <w:tcBorders>
              <w:bottom w:val="single" w:color="D9D9D9" w:sz="4" w:space="0"/>
            </w:tcBorders>
            <w:tcMar>
              <w:left w:w="60" w:type="dxa"/>
              <w:right w:w="60" w:type="dxa"/>
            </w:tcMar>
          </w:tcPr>
          <w:p>
            <w:pPr>
              <w:spacing w:before="20" w:after="20"/>
              <w:jc w:val="right"/>
              <w:rPr>
                <w:sz w:val="18"/>
              </w:rPr>
            </w:pPr>
            <w:r>
              <w:rPr>
                <w:sz w:val="18"/>
              </w:rPr>
              <w:t>4,708.5</w:t>
            </w:r>
          </w:p>
        </w:tc>
        <w:tc>
          <w:tcPr>
            <w:tcW w:w="1280" w:type="dxa"/>
            <w:tcBorders>
              <w:bottom w:val="single" w:color="D9D9D9" w:sz="4" w:space="0"/>
            </w:tcBorders>
            <w:tcMar>
              <w:left w:w="60" w:type="dxa"/>
              <w:right w:w="60" w:type="dxa"/>
            </w:tcMar>
          </w:tcPr>
          <w:p>
            <w:pPr>
              <w:spacing w:before="20" w:after="20"/>
              <w:jc w:val="right"/>
              <w:rPr>
                <w:sz w:val="18"/>
              </w:rPr>
            </w:pPr>
            <w:r>
              <w:rPr>
                <w:sz w:val="18"/>
              </w:rPr>
              <w:t>5,128.4</w:t>
            </w:r>
          </w:p>
        </w:tc>
        <w:tc>
          <w:tcPr>
            <w:tcW w:w="1280" w:type="dxa"/>
            <w:tcBorders>
              <w:bottom w:val="single" w:color="D9D9D9" w:sz="4" w:space="0"/>
            </w:tcBorders>
            <w:tcMar>
              <w:left w:w="60" w:type="dxa"/>
              <w:right w:w="60" w:type="dxa"/>
            </w:tcMar>
          </w:tcPr>
          <w:p>
            <w:pPr>
              <w:spacing w:before="20" w:after="20"/>
              <w:jc w:val="right"/>
              <w:rPr>
                <w:sz w:val="18"/>
              </w:rPr>
            </w:pPr>
            <w:r>
              <w:rPr>
                <w:sz w:val="18"/>
              </w:rPr>
              <w:t>5,485.1</w:t>
            </w:r>
          </w:p>
        </w:tc>
      </w:tr>
      <w:tr>
        <w:tc>
          <w:tcPr>
            <w:tcW w:w="3440" w:type="dxa"/>
            <w:tcBorders>
              <w:bottom w:val="single" w:color="D9D9D9" w:sz="4" w:space="0"/>
            </w:tcBorders>
            <w:tcMar>
              <w:left w:w="60" w:type="dxa"/>
              <w:right w:w="60" w:type="dxa"/>
            </w:tcMar>
          </w:tcPr>
          <w:p>
            <w:pPr>
              <w:spacing w:before="20" w:after="20"/>
              <w:rPr>
                <w:sz w:val="18"/>
              </w:rPr>
            </w:pPr>
            <w:r>
              <w:rPr>
                <w:sz w:val="18"/>
              </w:rPr>
              <w:t>MOIC if exited</w:t>
            </w:r>
          </w:p>
        </w:tc>
        <w:tc>
          <w:tcPr>
            <w:tcW w:w="1280" w:type="dxa"/>
            <w:tcBorders>
              <w:bottom w:val="single" w:color="D9D9D9" w:sz="4" w:space="0"/>
            </w:tcBorders>
            <w:tcMar>
              <w:left w:w="60" w:type="dxa"/>
              <w:right w:w="60" w:type="dxa"/>
            </w:tcMar>
          </w:tcPr>
          <w:p>
            <w:pPr>
              <w:spacing w:before="20" w:after="20"/>
              <w:jc w:val="right"/>
              <w:rPr>
                <w:sz w:val="18"/>
              </w:rPr>
            </w:pPr>
            <w:r>
              <w:rPr>
                <w:sz w:val="18"/>
              </w:rPr>
              <w:t>0.94x</w:t>
            </w:r>
          </w:p>
        </w:tc>
        <w:tc>
          <w:tcPr>
            <w:tcW w:w="1280" w:type="dxa"/>
            <w:tcBorders>
              <w:bottom w:val="single" w:color="D9D9D9" w:sz="4" w:space="0"/>
            </w:tcBorders>
            <w:tcMar>
              <w:left w:w="60" w:type="dxa"/>
              <w:right w:w="60" w:type="dxa"/>
            </w:tcMar>
          </w:tcPr>
          <w:p>
            <w:pPr>
              <w:spacing w:before="20" w:after="20"/>
              <w:jc w:val="right"/>
              <w:rPr>
                <w:sz w:val="18"/>
              </w:rPr>
            </w:pPr>
            <w:r>
              <w:rPr>
                <w:sz w:val="18"/>
              </w:rPr>
              <w:t>1.20x</w:t>
            </w:r>
          </w:p>
        </w:tc>
        <w:tc>
          <w:tcPr>
            <w:tcW w:w="1280" w:type="dxa"/>
            <w:tcBorders>
              <w:bottom w:val="single" w:color="D9D9D9" w:sz="4" w:space="0"/>
            </w:tcBorders>
            <w:tcMar>
              <w:left w:w="60" w:type="dxa"/>
              <w:right w:w="60" w:type="dxa"/>
            </w:tcMar>
          </w:tcPr>
          <w:p>
            <w:pPr>
              <w:spacing w:before="20" w:after="20"/>
              <w:jc w:val="right"/>
              <w:rPr>
                <w:sz w:val="18"/>
              </w:rPr>
            </w:pPr>
            <w:r>
              <w:rPr>
                <w:sz w:val="18"/>
              </w:rPr>
              <w:t>1.37x</w:t>
            </w:r>
          </w:p>
        </w:tc>
        <w:tc>
          <w:tcPr>
            <w:tcW w:w="1280" w:type="dxa"/>
            <w:tcBorders>
              <w:bottom w:val="single" w:color="D9D9D9" w:sz="4" w:space="0"/>
            </w:tcBorders>
            <w:tcMar>
              <w:left w:w="60" w:type="dxa"/>
              <w:right w:w="60" w:type="dxa"/>
            </w:tcMar>
          </w:tcPr>
          <w:p>
            <w:pPr>
              <w:spacing w:before="20" w:after="20"/>
              <w:jc w:val="right"/>
              <w:rPr>
                <w:sz w:val="18"/>
              </w:rPr>
            </w:pPr>
            <w:r>
              <w:rPr>
                <w:sz w:val="18"/>
              </w:rPr>
              <w:t>1.49x</w:t>
            </w:r>
          </w:p>
        </w:tc>
        <w:tc>
          <w:tcPr>
            <w:tcW w:w="1280" w:type="dxa"/>
            <w:tcBorders>
              <w:bottom w:val="single" w:color="D9D9D9" w:sz="4" w:space="0"/>
            </w:tcBorders>
            <w:tcMar>
              <w:left w:w="60" w:type="dxa"/>
              <w:right w:w="60" w:type="dxa"/>
            </w:tcMar>
          </w:tcPr>
          <w:p>
            <w:pPr>
              <w:spacing w:before="20" w:after="20"/>
              <w:jc w:val="right"/>
              <w:rPr>
                <w:sz w:val="18"/>
              </w:rPr>
            </w:pPr>
            <w:r>
              <w:rPr>
                <w:sz w:val="18"/>
              </w:rPr>
              <w:t>1.59x</w:t>
            </w:r>
          </w:p>
        </w:tc>
      </w:tr>
      <w:tr>
        <w:tc>
          <w:tcPr>
            <w:tcW w:w="3440" w:type="dxa"/>
            <w:tcBorders>
              <w:bottom w:val="single" w:color="D9D9D9" w:sz="4" w:space="0"/>
            </w:tcBorders>
            <w:tcMar>
              <w:left w:w="60" w:type="dxa"/>
              <w:right w:w="60" w:type="dxa"/>
            </w:tcMar>
          </w:tcPr>
          <w:p>
            <w:pPr>
              <w:spacing w:before="20" w:after="20"/>
              <w:rPr>
                <w:b/>
                <w:sz w:val="18"/>
              </w:rPr>
            </w:pPr>
            <w:bookmarkStart w:id="174" w:name="citei-c733"/>
            <w:r>
              <w:rPr>
                <w:b/>
                <w:sz w:val="18"/>
              </w:rPr>
              <w:t>Gross IRR if exited</w:t>
            </w:r>
            <w:bookmarkEnd w:id="174"/>
          </w:p>
        </w:tc>
        <w:tc>
          <w:tcPr>
            <w:tcW w:w="1280" w:type="dxa"/>
            <w:tcBorders>
              <w:bottom w:val="single" w:color="D9D9D9" w:sz="4" w:space="0"/>
            </w:tcBorders>
            <w:tcMar>
              <w:left w:w="60" w:type="dxa"/>
              <w:right w:w="60" w:type="dxa"/>
            </w:tcMar>
          </w:tcPr>
          <w:p>
            <w:pPr>
              <w:spacing w:before="20" w:after="20"/>
              <w:jc w:val="right"/>
              <w:rPr>
                <w:b/>
                <w:sz w:val="18"/>
              </w:rPr>
            </w:pPr>
            <w:r>
              <w:rPr>
                <w:b/>
                <w:sz w:val="18"/>
              </w:rPr>
              <w:t>(5.9%)</w:t>
            </w:r>
          </w:p>
        </w:tc>
        <w:tc>
          <w:tcPr>
            <w:tcW w:w="1280" w:type="dxa"/>
            <w:tcBorders>
              <w:bottom w:val="single" w:color="D9D9D9" w:sz="4" w:space="0"/>
            </w:tcBorders>
            <w:tcMar>
              <w:left w:w="60" w:type="dxa"/>
              <w:right w:w="60" w:type="dxa"/>
            </w:tcMar>
          </w:tcPr>
          <w:p>
            <w:pPr>
              <w:spacing w:before="20" w:after="20"/>
              <w:jc w:val="right"/>
              <w:rPr>
                <w:b/>
                <w:sz w:val="18"/>
              </w:rPr>
            </w:pPr>
            <w:r>
              <w:rPr>
                <w:b/>
                <w:sz w:val="18"/>
              </w:rPr>
              <w:t>9.4%</w:t>
            </w:r>
          </w:p>
        </w:tc>
        <w:tc>
          <w:tcPr>
            <w:tcW w:w="1280" w:type="dxa"/>
            <w:tcBorders>
              <w:bottom w:val="single" w:color="D9D9D9" w:sz="4" w:space="0"/>
            </w:tcBorders>
            <w:tcMar>
              <w:left w:w="60" w:type="dxa"/>
              <w:right w:w="60" w:type="dxa"/>
            </w:tcMar>
          </w:tcPr>
          <w:p>
            <w:pPr>
              <w:spacing w:before="20" w:after="20"/>
              <w:jc w:val="right"/>
              <w:rPr>
                <w:b/>
                <w:sz w:val="18"/>
              </w:rPr>
            </w:pPr>
            <w:r>
              <w:rPr>
                <w:b/>
                <w:sz w:val="18"/>
              </w:rPr>
              <w:t>11.0%</w:t>
            </w:r>
          </w:p>
        </w:tc>
        <w:tc>
          <w:tcPr>
            <w:tcW w:w="1280" w:type="dxa"/>
            <w:tcBorders>
              <w:bottom w:val="single" w:color="D9D9D9" w:sz="4" w:space="0"/>
            </w:tcBorders>
            <w:tcMar>
              <w:left w:w="60" w:type="dxa"/>
              <w:right w:w="60" w:type="dxa"/>
            </w:tcMar>
          </w:tcPr>
          <w:p>
            <w:pPr>
              <w:spacing w:before="20" w:after="20"/>
              <w:jc w:val="right"/>
              <w:rPr>
                <w:b/>
                <w:sz w:val="18"/>
              </w:rPr>
            </w:pPr>
            <w:r>
              <w:rPr>
                <w:b/>
                <w:sz w:val="18"/>
              </w:rPr>
              <w:t>10.5%</w:t>
            </w:r>
          </w:p>
        </w:tc>
        <w:tc>
          <w:tcPr>
            <w:tcW w:w="1280" w:type="dxa"/>
            <w:tcBorders>
              <w:bottom w:val="single" w:color="D9D9D9" w:sz="4" w:space="0"/>
            </w:tcBorders>
            <w:tcMar>
              <w:left w:w="60" w:type="dxa"/>
              <w:right w:w="60" w:type="dxa"/>
            </w:tcMar>
          </w:tcPr>
          <w:p>
            <w:pPr>
              <w:spacing w:before="20" w:after="20"/>
              <w:jc w:val="right"/>
              <w:rPr>
                <w:b/>
                <w:sz w:val="18"/>
              </w:rPr>
            </w:pPr>
            <w:r>
              <w:rPr>
                <w:b/>
                <w:sz w:val="18"/>
              </w:rPr>
              <w:t>9.7%</w:t>
            </w:r>
          </w:p>
        </w:tc>
      </w:tr>
    </w:tbl>
    <w:p>
      <w:pPr>
        <w:spacing w:after="40"/>
      </w:pPr>
      <w:r>
        <w:t/>
      </w:r>
    </w:p>
    <w:p>
      <w:pPr>
        <w:pStyle w:val="Normal"/>
        <w:spacing w:before="0" w:after="100"/>
      </w:pPr>
      <w:r>
        <w:t xml:space="preserve">Where the value comes from. EBITDA growth, mostly capacity in flight, carries the return; entering at 22.2x FY25 EBITDA and exiting at 17.7x costs </w:t>
      </w:r>
      <w:bookmarkStart w:id="175" w:name="citei-c734"/>
      <w:r>
        <w:t>$929M</w:t>
      </w:r>
      <w:bookmarkEnd w:id="175"/>
      <w:r>
        <w:t xml:space="preserve">, and debt paydown adds </w:t>
      </w:r>
      <w:bookmarkStart w:id="176" w:name="citei-c735"/>
      <w:r>
        <w:t>$853M</w:t>
      </w:r>
      <w:bookmarkEnd w:id="176"/>
      <w:r>
        <w:t>.</w:t>
      </w:r>
    </w:p>
    <w:tbl>
      <w:tblPr>
        <w:tblW w:w="9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
      <w:tblGrid>
        <w:gridCol w:w="1440"/>
        <w:gridCol w:w="1440"/>
      </w:tblGrid>
      <w:tr>
        <w:trPr>
          <w:tblHeader/>
        </w:trPr>
        <w:tc>
          <w:tcPr>
            <w:tcW w:w="7760" w:type="dxa"/>
            <w:tcBorders>
              <w:bottom w:val="single" w:color="D9D9D9" w:sz="4" w:space="0"/>
            </w:tcBorders>
            <w:shd w:val="clear" w:fill="F2F0EC"/>
            <w:tcMar>
              <w:left w:w="60" w:type="dxa"/>
              <w:right w:w="60" w:type="dxa"/>
            </w:tcMar>
          </w:tcPr>
          <w:p>
            <w:pPr>
              <w:spacing w:before="20" w:after="20"/>
              <w:rPr>
                <w:b/>
                <w:sz w:val="18"/>
              </w:rPr>
            </w:pPr>
            <w:r>
              <w:rPr>
                <w:b/>
                <w:sz w:val="18"/>
              </w:rPr>
              <w:t>Sponsor equity bridge, five-year hold</w:t>
            </w:r>
          </w:p>
        </w:tc>
        <w:tc>
          <w:tcPr>
            <w:tcW w:w="2080" w:type="dxa"/>
            <w:tcBorders>
              <w:bottom w:val="single" w:color="D9D9D9" w:sz="4" w:space="0"/>
            </w:tcBorders>
            <w:shd w:val="clear" w:fill="F2F0EC"/>
            <w:tcMar>
              <w:left w:w="60" w:type="dxa"/>
              <w:right w:w="60" w:type="dxa"/>
            </w:tcMar>
          </w:tcPr>
          <w:p>
            <w:pPr>
              <w:spacing w:before="20" w:after="20"/>
              <w:jc w:val="right"/>
              <w:rPr>
                <w:b/>
                <w:sz w:val="18"/>
              </w:rPr>
            </w:pPr>
            <w:r>
              <w:rPr>
                <w:b/>
                <w:sz w:val="18"/>
              </w:rPr>
              <w:t>$M</w:t>
            </w:r>
          </w:p>
        </w:tc>
      </w:tr>
      <w:tr>
        <w:tc>
          <w:tcPr>
            <w:tcW w:w="7760" w:type="dxa"/>
            <w:tcBorders>
              <w:bottom w:val="single" w:color="D9D9D9" w:sz="4" w:space="0"/>
            </w:tcBorders>
            <w:tcMar>
              <w:left w:w="60" w:type="dxa"/>
              <w:right w:w="60" w:type="dxa"/>
            </w:tcMar>
          </w:tcPr>
          <w:p>
            <w:pPr>
              <w:spacing w:before="20" w:after="20"/>
              <w:rPr>
                <w:sz w:val="18"/>
              </w:rPr>
            </w:pPr>
            <w:r>
              <w:rPr>
                <w:sz w:val="18"/>
              </w:rPr>
              <w:t>Sponsor equity invested</w:t>
            </w:r>
          </w:p>
        </w:tc>
        <w:tc>
          <w:tcPr>
            <w:tcW w:w="2080" w:type="dxa"/>
            <w:tcBorders>
              <w:bottom w:val="single" w:color="D9D9D9" w:sz="4" w:space="0"/>
            </w:tcBorders>
            <w:tcMar>
              <w:left w:w="60" w:type="dxa"/>
              <w:right w:w="60" w:type="dxa"/>
            </w:tcMar>
          </w:tcPr>
          <w:p>
            <w:pPr>
              <w:spacing w:before="20" w:after="20"/>
              <w:jc w:val="right"/>
              <w:rPr>
                <w:sz w:val="18"/>
              </w:rPr>
            </w:pPr>
            <w:bookmarkStart w:id="177" w:name="citei-c736"/>
            <w:r>
              <w:rPr>
                <w:sz w:val="18"/>
              </w:rPr>
              <w:t>3,444.1</w:t>
            </w:r>
            <w:bookmarkEnd w:id="177"/>
          </w:p>
        </w:tc>
      </w:tr>
      <w:tr>
        <w:tc>
          <w:tcPr>
            <w:tcW w:w="7760" w:type="dxa"/>
            <w:tcBorders>
              <w:bottom w:val="single" w:color="D9D9D9" w:sz="4" w:space="0"/>
            </w:tcBorders>
            <w:tcMar>
              <w:left w:w="60" w:type="dxa"/>
              <w:right w:w="60" w:type="dxa"/>
            </w:tcMar>
          </w:tcPr>
          <w:p>
            <w:pPr>
              <w:spacing w:before="20" w:after="20"/>
              <w:rPr>
                <w:sz w:val="18"/>
              </w:rPr>
            </w:pPr>
            <w:r>
              <w:rPr>
                <w:sz w:val="18"/>
              </w:rPr>
              <w:t>(+) EBITDA growth, FY25 to FY31, at the 17.7x exit multiple</w:t>
            </w:r>
          </w:p>
        </w:tc>
        <w:tc>
          <w:tcPr>
            <w:tcW w:w="2080" w:type="dxa"/>
            <w:tcBorders>
              <w:bottom w:val="single" w:color="D9D9D9" w:sz="4" w:space="0"/>
            </w:tcBorders>
            <w:tcMar>
              <w:left w:w="60" w:type="dxa"/>
              <w:right w:w="60" w:type="dxa"/>
            </w:tcMar>
          </w:tcPr>
          <w:p>
            <w:pPr>
              <w:spacing w:before="20" w:after="20"/>
              <w:jc w:val="right"/>
              <w:rPr>
                <w:sz w:val="18"/>
              </w:rPr>
            </w:pPr>
            <w:r>
              <w:rPr>
                <w:sz w:val="18"/>
              </w:rPr>
              <w:t>2,270.5</w:t>
            </w:r>
          </w:p>
        </w:tc>
      </w:tr>
      <w:tr>
        <w:tc>
          <w:tcPr>
            <w:tcW w:w="7760" w:type="dxa"/>
            <w:tcBorders>
              <w:bottom w:val="single" w:color="D9D9D9" w:sz="4" w:space="0"/>
            </w:tcBorders>
            <w:tcMar>
              <w:left w:w="60" w:type="dxa"/>
              <w:right w:w="60" w:type="dxa"/>
            </w:tcMar>
          </w:tcPr>
          <w:p>
            <w:pPr>
              <w:spacing w:before="20" w:after="20"/>
              <w:rPr>
                <w:sz w:val="18"/>
              </w:rPr>
            </w:pPr>
            <w:r>
              <w:rPr>
                <w:sz w:val="18"/>
              </w:rPr>
              <w:t>(-) Multiple change: 17.7x exit vs 22.2x entry, on FY25 buyer EBITDA</w:t>
            </w:r>
          </w:p>
        </w:tc>
        <w:tc>
          <w:tcPr>
            <w:tcW w:w="2080" w:type="dxa"/>
            <w:tcBorders>
              <w:bottom w:val="single" w:color="D9D9D9" w:sz="4" w:space="0"/>
            </w:tcBorders>
            <w:tcMar>
              <w:left w:w="60" w:type="dxa"/>
              <w:right w:w="60" w:type="dxa"/>
            </w:tcMar>
          </w:tcPr>
          <w:p>
            <w:pPr>
              <w:spacing w:before="20" w:after="20"/>
              <w:jc w:val="right"/>
              <w:rPr>
                <w:sz w:val="18"/>
              </w:rPr>
            </w:pPr>
            <w:r>
              <w:rPr>
                <w:sz w:val="18"/>
              </w:rPr>
              <w:t>(928.9)</w:t>
            </w:r>
          </w:p>
        </w:tc>
      </w:tr>
      <w:tr>
        <w:tc>
          <w:tcPr>
            <w:tcW w:w="7760" w:type="dxa"/>
            <w:tcBorders>
              <w:bottom w:val="single" w:color="D9D9D9" w:sz="4" w:space="0"/>
            </w:tcBorders>
            <w:tcMar>
              <w:left w:w="60" w:type="dxa"/>
              <w:right w:w="60" w:type="dxa"/>
            </w:tcMar>
          </w:tcPr>
          <w:p>
            <w:pPr>
              <w:spacing w:before="20" w:after="20"/>
              <w:rPr>
                <w:sz w:val="18"/>
              </w:rPr>
            </w:pPr>
            <w:r>
              <w:rPr>
                <w:sz w:val="18"/>
              </w:rPr>
              <w:t>(+) Net debt reduction, close to exit</w:t>
            </w:r>
          </w:p>
        </w:tc>
        <w:tc>
          <w:tcPr>
            <w:tcW w:w="2080" w:type="dxa"/>
            <w:tcBorders>
              <w:bottom w:val="single" w:color="D9D9D9" w:sz="4" w:space="0"/>
            </w:tcBorders>
            <w:tcMar>
              <w:left w:w="60" w:type="dxa"/>
              <w:right w:w="60" w:type="dxa"/>
            </w:tcMar>
          </w:tcPr>
          <w:p>
            <w:pPr>
              <w:spacing w:before="20" w:after="20"/>
              <w:jc w:val="right"/>
              <w:rPr>
                <w:sz w:val="18"/>
              </w:rPr>
            </w:pPr>
            <w:r>
              <w:rPr>
                <w:sz w:val="18"/>
              </w:rPr>
              <w:t>853.2</w:t>
            </w:r>
          </w:p>
        </w:tc>
      </w:tr>
      <w:tr>
        <w:tc>
          <w:tcPr>
            <w:tcW w:w="7760" w:type="dxa"/>
            <w:tcBorders>
              <w:bottom w:val="single" w:color="D9D9D9" w:sz="4" w:space="0"/>
            </w:tcBorders>
            <w:tcMar>
              <w:left w:w="60" w:type="dxa"/>
              <w:right w:w="60" w:type="dxa"/>
            </w:tcMar>
          </w:tcPr>
          <w:p>
            <w:pPr>
              <w:spacing w:before="20" w:after="20"/>
              <w:rPr>
                <w:sz w:val="18"/>
              </w:rPr>
            </w:pPr>
            <w:r>
              <w:rPr>
                <w:sz w:val="18"/>
              </w:rPr>
              <w:t>(-) Entry costs funded with equity</w:t>
            </w:r>
          </w:p>
        </w:tc>
        <w:tc>
          <w:tcPr>
            <w:tcW w:w="2080" w:type="dxa"/>
            <w:tcBorders>
              <w:bottom w:val="single" w:color="D9D9D9" w:sz="4" w:space="0"/>
            </w:tcBorders>
            <w:tcMar>
              <w:left w:w="60" w:type="dxa"/>
              <w:right w:w="60" w:type="dxa"/>
            </w:tcMar>
          </w:tcPr>
          <w:p>
            <w:pPr>
              <w:spacing w:before="20" w:after="20"/>
              <w:jc w:val="right"/>
              <w:rPr>
                <w:sz w:val="18"/>
              </w:rPr>
            </w:pPr>
            <w:r>
              <w:rPr>
                <w:sz w:val="18"/>
              </w:rPr>
              <w:t>(94.5)</w:t>
            </w:r>
          </w:p>
        </w:tc>
      </w:tr>
      <w:tr>
        <w:tc>
          <w:tcPr>
            <w:tcW w:w="7760" w:type="dxa"/>
            <w:tcBorders>
              <w:bottom w:val="single" w:color="D9D9D9" w:sz="4" w:space="0"/>
            </w:tcBorders>
            <w:tcMar>
              <w:left w:w="60" w:type="dxa"/>
              <w:right w:w="60" w:type="dxa"/>
            </w:tcMar>
          </w:tcPr>
          <w:p>
            <w:pPr>
              <w:spacing w:before="20" w:after="20"/>
              <w:rPr>
                <w:sz w:val="18"/>
              </w:rPr>
            </w:pPr>
            <w:r>
              <w:rPr>
                <w:sz w:val="18"/>
              </w:rPr>
              <w:t>(-) Exit costs</w:t>
            </w:r>
          </w:p>
        </w:tc>
        <w:tc>
          <w:tcPr>
            <w:tcW w:w="2080" w:type="dxa"/>
            <w:tcBorders>
              <w:bottom w:val="single" w:color="D9D9D9" w:sz="4" w:space="0"/>
            </w:tcBorders>
            <w:tcMar>
              <w:left w:w="60" w:type="dxa"/>
              <w:right w:w="60" w:type="dxa"/>
            </w:tcMar>
          </w:tcPr>
          <w:p>
            <w:pPr>
              <w:spacing w:before="20" w:after="20"/>
              <w:jc w:val="right"/>
              <w:rPr>
                <w:sz w:val="18"/>
              </w:rPr>
            </w:pPr>
            <w:r>
              <w:rPr>
                <w:sz w:val="18"/>
              </w:rPr>
              <w:t>(59.3)</w:t>
            </w:r>
          </w:p>
        </w:tc>
      </w:tr>
      <w:tr>
        <w:tc>
          <w:tcPr>
            <w:tcW w:w="7760" w:type="dxa"/>
            <w:tcBorders>
              <w:bottom w:val="single" w:color="D9D9D9" w:sz="4" w:space="0"/>
            </w:tcBorders>
            <w:tcMar>
              <w:left w:w="60" w:type="dxa"/>
              <w:right w:w="60" w:type="dxa"/>
            </w:tcMar>
          </w:tcPr>
          <w:p>
            <w:pPr>
              <w:spacing w:before="20" w:after="20"/>
              <w:rPr>
                <w:b/>
                <w:sz w:val="18"/>
              </w:rPr>
            </w:pPr>
            <w:r>
              <w:rPr>
                <w:b/>
                <w:sz w:val="18"/>
              </w:rPr>
              <w:t>Sponsor equity value at exit</w:t>
            </w:r>
          </w:p>
        </w:tc>
        <w:tc>
          <w:tcPr>
            <w:tcW w:w="2080" w:type="dxa"/>
            <w:tcBorders>
              <w:bottom w:val="single" w:color="D9D9D9" w:sz="4" w:space="0"/>
            </w:tcBorders>
            <w:tcMar>
              <w:left w:w="60" w:type="dxa"/>
              <w:right w:w="60" w:type="dxa"/>
            </w:tcMar>
          </w:tcPr>
          <w:p>
            <w:pPr>
              <w:spacing w:before="20" w:after="20"/>
              <w:jc w:val="right"/>
              <w:rPr>
                <w:b/>
                <w:sz w:val="18"/>
              </w:rPr>
            </w:pPr>
            <w:bookmarkStart w:id="178" w:name="citei-c737"/>
            <w:r>
              <w:rPr>
                <w:b/>
                <w:sz w:val="18"/>
              </w:rPr>
              <w:t>5,485.1</w:t>
            </w:r>
            <w:bookmarkEnd w:id="178"/>
          </w:p>
        </w:tc>
      </w:tr>
    </w:tbl>
    <w:p>
      <w:pPr>
        <w:spacing w:after="40"/>
      </w:pPr>
      <w:r>
        <w:t/>
      </w:r>
    </w:p>
    <w:p>
      <w:pPr>
        <w:pStyle w:val="Normal"/>
        <w:spacing w:before="0" w:after="40"/>
        <w:rPr>
          <w:b/>
        </w:rPr>
      </w:pPr>
      <w:r>
        <w:rPr>
          <w:b/>
        </w:rPr>
        <w:t>Gross IRR sensitivity, five-year hold: entry enterprise value (from 4,286 to 4,896, the cost of 18.0x the seller's FY26 budget) against exit multiple. Shading runs from red (lowest) to green (highest); the base case is boxed in bold.</w:t>
      </w:r>
    </w:p>
    <w:tbl>
      <w:tblPr>
        <w:tblW w:w="9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
      <w:tblGrid>
        <w:gridCol w:w="1440"/>
        <w:gridCol w:w="1440"/>
        <w:gridCol w:w="1440"/>
        <w:gridCol w:w="1440"/>
        <w:gridCol w:w="1440"/>
        <w:gridCol w:w="1440"/>
      </w:tblGrid>
      <w:tr>
        <w:trPr>
          <w:tblHeader/>
        </w:trPr>
        <w:tc>
          <w:tcPr>
            <w:tcW w:w="3440" w:type="dxa"/>
            <w:tcBorders>
              <w:bottom w:val="single" w:color="D9D9D9" w:sz="4" w:space="0"/>
            </w:tcBorders>
            <w:shd w:val="clear" w:fill="F2F0EC"/>
            <w:tcMar>
              <w:left w:w="60" w:type="dxa"/>
              <w:right w:w="60" w:type="dxa"/>
            </w:tcMar>
          </w:tcPr>
          <w:p>
            <w:pPr>
              <w:spacing w:before="20" w:after="20"/>
              <w:rPr>
                <w:b/>
                <w:sz w:val="18"/>
              </w:rPr>
            </w:pPr>
            <w:r>
              <w:rPr>
                <w:b/>
                <w:sz w:val="18"/>
              </w:rPr>
              <w:t>Entry EV ($M)</w:t>
            </w:r>
          </w:p>
        </w:tc>
        <w:tc>
          <w:tcPr>
            <w:tcW w:w="1280" w:type="dxa"/>
            <w:tcBorders>
              <w:bottom w:val="single" w:color="D9D9D9" w:sz="4" w:space="0"/>
            </w:tcBorders>
            <w:shd w:val="clear" w:fill="F2F0EC"/>
            <w:tcMar>
              <w:left w:w="60" w:type="dxa"/>
              <w:right w:w="60" w:type="dxa"/>
            </w:tcMar>
          </w:tcPr>
          <w:p>
            <w:pPr>
              <w:spacing w:before="20" w:after="20"/>
              <w:jc w:val="right"/>
              <w:rPr>
                <w:b/>
                <w:sz w:val="18"/>
              </w:rPr>
            </w:pPr>
            <w:r>
              <w:rPr>
                <w:b/>
                <w:sz w:val="18"/>
              </w:rPr>
              <w:t>15.7x</w:t>
            </w:r>
          </w:p>
        </w:tc>
        <w:tc>
          <w:tcPr>
            <w:tcW w:w="1280" w:type="dxa"/>
            <w:tcBorders>
              <w:bottom w:val="single" w:color="D9D9D9" w:sz="4" w:space="0"/>
            </w:tcBorders>
            <w:shd w:val="clear" w:fill="F2F0EC"/>
            <w:tcMar>
              <w:left w:w="60" w:type="dxa"/>
              <w:right w:w="60" w:type="dxa"/>
            </w:tcMar>
          </w:tcPr>
          <w:p>
            <w:pPr>
              <w:spacing w:before="20" w:after="20"/>
              <w:jc w:val="right"/>
              <w:rPr>
                <w:b/>
                <w:sz w:val="18"/>
              </w:rPr>
            </w:pPr>
            <w:r>
              <w:rPr>
                <w:b/>
                <w:sz w:val="18"/>
              </w:rPr>
              <w:t>16.7x</w:t>
            </w:r>
          </w:p>
        </w:tc>
        <w:tc>
          <w:tcPr>
            <w:tcW w:w="1280" w:type="dxa"/>
            <w:tcBorders>
              <w:bottom w:val="single" w:color="D9D9D9" w:sz="4" w:space="0"/>
            </w:tcBorders>
            <w:shd w:val="clear" w:fill="F2F0EC"/>
            <w:tcMar>
              <w:left w:w="60" w:type="dxa"/>
              <w:right w:w="60" w:type="dxa"/>
            </w:tcMar>
          </w:tcPr>
          <w:p>
            <w:pPr>
              <w:spacing w:before="20" w:after="20"/>
              <w:jc w:val="right"/>
              <w:rPr>
                <w:b/>
                <w:sz w:val="18"/>
              </w:rPr>
            </w:pPr>
            <w:r>
              <w:rPr>
                <w:b/>
                <w:sz w:val="18"/>
              </w:rPr>
              <w:t>17.7x</w:t>
            </w:r>
          </w:p>
        </w:tc>
        <w:tc>
          <w:tcPr>
            <w:tcW w:w="1280" w:type="dxa"/>
            <w:tcBorders>
              <w:bottom w:val="single" w:color="D9D9D9" w:sz="4" w:space="0"/>
            </w:tcBorders>
            <w:shd w:val="clear" w:fill="F2F0EC"/>
            <w:tcMar>
              <w:left w:w="60" w:type="dxa"/>
              <w:right w:w="60" w:type="dxa"/>
            </w:tcMar>
          </w:tcPr>
          <w:p>
            <w:pPr>
              <w:spacing w:before="20" w:after="20"/>
              <w:jc w:val="right"/>
              <w:rPr>
                <w:b/>
                <w:sz w:val="18"/>
              </w:rPr>
            </w:pPr>
            <w:r>
              <w:rPr>
                <w:b/>
                <w:sz w:val="18"/>
              </w:rPr>
              <w:t>18.7x</w:t>
            </w:r>
          </w:p>
        </w:tc>
        <w:tc>
          <w:tcPr>
            <w:tcW w:w="1280" w:type="dxa"/>
            <w:tcBorders>
              <w:bottom w:val="single" w:color="D9D9D9" w:sz="4" w:space="0"/>
            </w:tcBorders>
            <w:shd w:val="clear" w:fill="F2F0EC"/>
            <w:tcMar>
              <w:left w:w="60" w:type="dxa"/>
              <w:right w:w="60" w:type="dxa"/>
            </w:tcMar>
          </w:tcPr>
          <w:p>
            <w:pPr>
              <w:spacing w:before="20" w:after="20"/>
              <w:jc w:val="right"/>
              <w:rPr>
                <w:b/>
                <w:sz w:val="18"/>
              </w:rPr>
            </w:pPr>
            <w:r>
              <w:rPr>
                <w:b/>
                <w:sz w:val="18"/>
              </w:rPr>
              <w:t>19.7x</w:t>
            </w:r>
          </w:p>
        </w:tc>
      </w:tr>
      <w:tr>
        <w:tc>
          <w:tcPr>
            <w:tcW w:w="3440" w:type="dxa"/>
            <w:tcBorders>
              <w:bottom w:val="single" w:color="D9D9D9" w:sz="4" w:space="0"/>
            </w:tcBorders>
            <w:tcMar>
              <w:left w:w="60" w:type="dxa"/>
              <w:right w:w="60" w:type="dxa"/>
            </w:tcMar>
          </w:tcPr>
          <w:p>
            <w:pPr>
              <w:spacing w:before="20" w:after="20"/>
              <w:rPr>
                <w:sz w:val="18"/>
              </w:rPr>
            </w:pPr>
            <w:r>
              <w:rPr>
                <w:sz w:val="18"/>
              </w:rPr>
              <w:t>4,286</w:t>
            </w:r>
          </w:p>
        </w:tc>
        <w:tc>
          <w:tcPr>
            <w:tcW w:w="1280" w:type="dxa"/>
            <w:tcBorders>
              <w:bottom w:val="single" w:color="D9D9D9" w:sz="4" w:space="0"/>
            </w:tcBorders>
            <w:shd w:val="clear" w:fill="FCE5CD"/>
            <w:tcMar>
              <w:left w:w="60" w:type="dxa"/>
              <w:right w:w="60" w:type="dxa"/>
            </w:tcMar>
          </w:tcPr>
          <w:p>
            <w:pPr>
              <w:spacing w:before="20" w:after="20"/>
              <w:jc w:val="right"/>
              <w:rPr>
                <w:sz w:val="18"/>
              </w:rPr>
            </w:pPr>
            <w:r>
              <w:rPr>
                <w:sz w:val="18"/>
              </w:rPr>
              <w:t>9.0%</w:t>
            </w:r>
          </w:p>
        </w:tc>
        <w:tc>
          <w:tcPr>
            <w:tcW w:w="1280" w:type="dxa"/>
            <w:tcBorders>
              <w:bottom w:val="single" w:color="D9D9D9" w:sz="4" w:space="0"/>
            </w:tcBorders>
            <w:shd w:val="clear" w:fill="FFF2CC"/>
            <w:tcMar>
              <w:left w:w="60" w:type="dxa"/>
              <w:right w:w="60" w:type="dxa"/>
            </w:tcMar>
          </w:tcPr>
          <w:p>
            <w:pPr>
              <w:spacing w:before="20" w:after="20"/>
              <w:jc w:val="right"/>
              <w:rPr>
                <w:sz w:val="18"/>
              </w:rPr>
            </w:pPr>
            <w:r>
              <w:rPr>
                <w:sz w:val="18"/>
              </w:rPr>
              <w:t>10.4%</w:t>
            </w:r>
          </w:p>
        </w:tc>
        <w:tc>
          <w:tcPr>
            <w:tcW w:w="1280" w:type="dxa"/>
            <w:tcBorders>
              <w:bottom w:val="single" w:color="D9D9D9" w:sz="4" w:space="0"/>
            </w:tcBorders>
            <w:shd w:val="clear" w:fill="FFF2CC"/>
            <w:tcMar>
              <w:left w:w="60" w:type="dxa"/>
              <w:right w:w="60" w:type="dxa"/>
            </w:tcMar>
          </w:tcPr>
          <w:p>
            <w:pPr>
              <w:spacing w:before="20" w:after="20"/>
              <w:jc w:val="right"/>
              <w:rPr>
                <w:sz w:val="18"/>
              </w:rPr>
            </w:pPr>
            <w:r>
              <w:rPr>
                <w:sz w:val="18"/>
              </w:rPr>
              <w:t>11.8%</w:t>
            </w:r>
          </w:p>
        </w:tc>
        <w:tc>
          <w:tcPr>
            <w:tcW w:w="1280" w:type="dxa"/>
            <w:tcBorders>
              <w:bottom w:val="single" w:color="D9D9D9" w:sz="4" w:space="0"/>
            </w:tcBorders>
            <w:shd w:val="clear" w:fill="D9EAD3"/>
            <w:tcMar>
              <w:left w:w="60" w:type="dxa"/>
              <w:right w:w="60" w:type="dxa"/>
            </w:tcMar>
          </w:tcPr>
          <w:p>
            <w:pPr>
              <w:spacing w:before="20" w:after="20"/>
              <w:jc w:val="right"/>
              <w:rPr>
                <w:sz w:val="18"/>
              </w:rPr>
            </w:pPr>
            <w:r>
              <w:rPr>
                <w:sz w:val="18"/>
              </w:rPr>
              <w:t>13.1%</w:t>
            </w:r>
          </w:p>
        </w:tc>
        <w:tc>
          <w:tcPr>
            <w:tcW w:w="1280" w:type="dxa"/>
            <w:tcBorders>
              <w:bottom w:val="single" w:color="D9D9D9" w:sz="4" w:space="0"/>
            </w:tcBorders>
            <w:shd w:val="clear" w:fill="D9EAD3"/>
            <w:tcMar>
              <w:left w:w="60" w:type="dxa"/>
              <w:right w:w="60" w:type="dxa"/>
            </w:tcMar>
          </w:tcPr>
          <w:p>
            <w:pPr>
              <w:spacing w:before="20" w:after="20"/>
              <w:jc w:val="right"/>
              <w:rPr>
                <w:sz w:val="18"/>
              </w:rPr>
            </w:pPr>
            <w:r>
              <w:rPr>
                <w:sz w:val="18"/>
              </w:rPr>
              <w:t>14.4%</w:t>
            </w:r>
          </w:p>
        </w:tc>
      </w:tr>
      <w:tr>
        <w:tc>
          <w:tcPr>
            <w:tcW w:w="3440" w:type="dxa"/>
            <w:tcBorders>
              <w:bottom w:val="single" w:color="D9D9D9" w:sz="4" w:space="0"/>
            </w:tcBorders>
            <w:tcMar>
              <w:left w:w="60" w:type="dxa"/>
              <w:right w:w="60" w:type="dxa"/>
            </w:tcMar>
          </w:tcPr>
          <w:p>
            <w:pPr>
              <w:spacing w:before="20" w:after="20"/>
              <w:rPr>
                <w:sz w:val="18"/>
              </w:rPr>
            </w:pPr>
            <w:r>
              <w:rPr>
                <w:sz w:val="18"/>
              </w:rPr>
              <w:t>4,439</w:t>
            </w:r>
          </w:p>
        </w:tc>
        <w:tc>
          <w:tcPr>
            <w:tcW w:w="1280" w:type="dxa"/>
            <w:tcBorders>
              <w:bottom w:val="single" w:color="D9D9D9" w:sz="4" w:space="0"/>
            </w:tcBorders>
            <w:shd w:val="clear" w:fill="F4CCCC"/>
            <w:tcMar>
              <w:left w:w="60" w:type="dxa"/>
              <w:right w:w="60" w:type="dxa"/>
            </w:tcMar>
          </w:tcPr>
          <w:p>
            <w:pPr>
              <w:spacing w:before="20" w:after="20"/>
              <w:jc w:val="right"/>
              <w:rPr>
                <w:sz w:val="18"/>
              </w:rPr>
            </w:pPr>
            <w:r>
              <w:rPr>
                <w:sz w:val="18"/>
              </w:rPr>
              <w:t>7.9%</w:t>
            </w:r>
          </w:p>
        </w:tc>
        <w:tc>
          <w:tcPr>
            <w:tcW w:w="1280" w:type="dxa"/>
            <w:tcBorders>
              <w:bottom w:val="single" w:color="D9D9D9" w:sz="4" w:space="0"/>
            </w:tcBorders>
            <w:shd w:val="clear" w:fill="FCE5CD"/>
            <w:tcMar>
              <w:left w:w="60" w:type="dxa"/>
              <w:right w:w="60" w:type="dxa"/>
            </w:tcMar>
          </w:tcPr>
          <w:p>
            <w:pPr>
              <w:spacing w:before="20" w:after="20"/>
              <w:jc w:val="right"/>
              <w:rPr>
                <w:sz w:val="18"/>
              </w:rPr>
            </w:pPr>
            <w:r>
              <w:rPr>
                <w:sz w:val="18"/>
              </w:rPr>
              <w:t>9.4%</w:t>
            </w:r>
          </w:p>
        </w:tc>
        <w:tc>
          <w:tcPr>
            <w:tcW w:w="1280" w:type="dxa"/>
            <w:tcBorders>
              <w:bottom w:val="single" w:color="D9D9D9" w:sz="4" w:space="0"/>
            </w:tcBorders>
            <w:shd w:val="clear" w:fill="FFF2CC"/>
            <w:tcMar>
              <w:left w:w="60" w:type="dxa"/>
              <w:right w:w="60" w:type="dxa"/>
            </w:tcMar>
          </w:tcPr>
          <w:p>
            <w:pPr>
              <w:spacing w:before="20" w:after="20"/>
              <w:jc w:val="right"/>
              <w:rPr>
                <w:sz w:val="18"/>
              </w:rPr>
            </w:pPr>
            <w:r>
              <w:rPr>
                <w:sz w:val="18"/>
              </w:rPr>
              <w:t>10.8%</w:t>
            </w:r>
          </w:p>
        </w:tc>
        <w:tc>
          <w:tcPr>
            <w:tcW w:w="1280" w:type="dxa"/>
            <w:tcBorders>
              <w:bottom w:val="single" w:color="D9D9D9" w:sz="4" w:space="0"/>
            </w:tcBorders>
            <w:shd w:val="clear" w:fill="D9EAD3"/>
            <w:tcMar>
              <w:left w:w="60" w:type="dxa"/>
              <w:right w:w="60" w:type="dxa"/>
            </w:tcMar>
          </w:tcPr>
          <w:p>
            <w:pPr>
              <w:spacing w:before="20" w:after="20"/>
              <w:jc w:val="right"/>
              <w:rPr>
                <w:sz w:val="18"/>
              </w:rPr>
            </w:pPr>
            <w:r>
              <w:rPr>
                <w:sz w:val="18"/>
              </w:rPr>
              <w:t>12.1%</w:t>
            </w:r>
          </w:p>
        </w:tc>
        <w:tc>
          <w:tcPr>
            <w:tcW w:w="1280" w:type="dxa"/>
            <w:tcBorders>
              <w:bottom w:val="single" w:color="D9D9D9" w:sz="4" w:space="0"/>
            </w:tcBorders>
            <w:shd w:val="clear" w:fill="D9EAD3"/>
            <w:tcMar>
              <w:left w:w="60" w:type="dxa"/>
              <w:right w:w="60" w:type="dxa"/>
            </w:tcMar>
          </w:tcPr>
          <w:p>
            <w:pPr>
              <w:spacing w:before="20" w:after="20"/>
              <w:jc w:val="right"/>
              <w:rPr>
                <w:sz w:val="18"/>
              </w:rPr>
            </w:pPr>
            <w:r>
              <w:rPr>
                <w:sz w:val="18"/>
              </w:rPr>
              <w:t>13.3%</w:t>
            </w:r>
          </w:p>
        </w:tc>
      </w:tr>
      <w:tr>
        <w:tc>
          <w:tcPr>
            <w:tcW w:w="3440" w:type="dxa"/>
            <w:tcBorders>
              <w:bottom w:val="single" w:color="D9D9D9" w:sz="4" w:space="0"/>
            </w:tcBorders>
            <w:tcMar>
              <w:left w:w="60" w:type="dxa"/>
              <w:right w:w="60" w:type="dxa"/>
            </w:tcMar>
          </w:tcPr>
          <w:p>
            <w:pPr>
              <w:spacing w:before="20" w:after="20"/>
              <w:rPr>
                <w:sz w:val="18"/>
              </w:rPr>
            </w:pPr>
            <w:r>
              <w:rPr>
                <w:sz w:val="18"/>
              </w:rPr>
              <w:t>4,591</w:t>
            </w:r>
          </w:p>
        </w:tc>
        <w:tc>
          <w:tcPr>
            <w:tcW w:w="1280" w:type="dxa"/>
            <w:tcBorders>
              <w:bottom w:val="single" w:color="D9D9D9" w:sz="4" w:space="0"/>
            </w:tcBorders>
            <w:shd w:val="clear" w:fill="F4CCCC"/>
            <w:tcMar>
              <w:left w:w="60" w:type="dxa"/>
              <w:right w:w="60" w:type="dxa"/>
            </w:tcMar>
          </w:tcPr>
          <w:p>
            <w:pPr>
              <w:spacing w:before="20" w:after="20"/>
              <w:jc w:val="right"/>
              <w:rPr>
                <w:sz w:val="18"/>
              </w:rPr>
            </w:pPr>
            <w:r>
              <w:rPr>
                <w:sz w:val="18"/>
              </w:rPr>
              <w:t>7.0%</w:t>
            </w:r>
          </w:p>
        </w:tc>
        <w:tc>
          <w:tcPr>
            <w:tcW w:w="1280" w:type="dxa"/>
            <w:tcBorders>
              <w:bottom w:val="single" w:color="D9D9D9" w:sz="4" w:space="0"/>
            </w:tcBorders>
            <w:shd w:val="clear" w:fill="FCE5CD"/>
            <w:tcMar>
              <w:left w:w="60" w:type="dxa"/>
              <w:right w:w="60" w:type="dxa"/>
            </w:tcMar>
          </w:tcPr>
          <w:p>
            <w:pPr>
              <w:spacing w:before="20" w:after="20"/>
              <w:jc w:val="right"/>
              <w:rPr>
                <w:sz w:val="18"/>
              </w:rPr>
            </w:pPr>
            <w:r>
              <w:rPr>
                <w:sz w:val="18"/>
              </w:rPr>
              <w:t>8.4%</w:t>
            </w:r>
          </w:p>
        </w:tc>
        <w:tc>
          <w:tcPr>
            <w:tcW w:w="1280" w:type="dxa"/>
            <w:tcBorders>
              <w:top w:val="single" w:color="002060" w:sz="8" w:space="0"/>
              <w:left w:val="single" w:color="002060" w:sz="8" w:space="0"/>
              <w:bottom w:val="single" w:color="002060" w:sz="8" w:space="0"/>
              <w:right w:val="single" w:color="002060" w:sz="8" w:space="0"/>
              <w:insideH w:val="single" w:color="002060" w:sz="8" w:space="0"/>
              <w:insideV w:val="single" w:color="002060" w:sz="8" w:space="0"/>
            </w:tcBorders>
            <w:shd w:val="clear" w:fill="FCE5CD"/>
            <w:tcMar>
              <w:left w:w="60" w:type="dxa"/>
              <w:right w:w="60" w:type="dxa"/>
            </w:tcMar>
          </w:tcPr>
          <w:p>
            <w:pPr>
              <w:spacing w:before="20" w:after="20"/>
              <w:jc w:val="right"/>
              <w:rPr>
                <w:b/>
                <w:sz w:val="18"/>
              </w:rPr>
            </w:pPr>
            <w:bookmarkStart w:id="179" w:name="citei-c738"/>
            <w:r>
              <w:rPr>
                <w:b/>
                <w:sz w:val="18"/>
              </w:rPr>
              <w:t>9.7%</w:t>
            </w:r>
            <w:bookmarkEnd w:id="179"/>
          </w:p>
        </w:tc>
        <w:tc>
          <w:tcPr>
            <w:tcW w:w="1280" w:type="dxa"/>
            <w:tcBorders>
              <w:bottom w:val="single" w:color="D9D9D9" w:sz="4" w:space="0"/>
            </w:tcBorders>
            <w:shd w:val="clear" w:fill="FFF2CC"/>
            <w:tcMar>
              <w:left w:w="60" w:type="dxa"/>
              <w:right w:w="60" w:type="dxa"/>
            </w:tcMar>
          </w:tcPr>
          <w:p>
            <w:pPr>
              <w:spacing w:before="20" w:after="20"/>
              <w:jc w:val="right"/>
              <w:rPr>
                <w:sz w:val="18"/>
              </w:rPr>
            </w:pPr>
            <w:r>
              <w:rPr>
                <w:sz w:val="18"/>
              </w:rPr>
              <w:t>11.0%</w:t>
            </w:r>
          </w:p>
        </w:tc>
        <w:tc>
          <w:tcPr>
            <w:tcW w:w="1280" w:type="dxa"/>
            <w:tcBorders>
              <w:bottom w:val="single" w:color="D9D9D9" w:sz="4" w:space="0"/>
            </w:tcBorders>
            <w:shd w:val="clear" w:fill="D9EAD3"/>
            <w:tcMar>
              <w:left w:w="60" w:type="dxa"/>
              <w:right w:w="60" w:type="dxa"/>
            </w:tcMar>
          </w:tcPr>
          <w:p>
            <w:pPr>
              <w:spacing w:before="20" w:after="20"/>
              <w:jc w:val="right"/>
              <w:rPr>
                <w:sz w:val="18"/>
              </w:rPr>
            </w:pPr>
            <w:r>
              <w:rPr>
                <w:sz w:val="18"/>
              </w:rPr>
              <w:t>12.3%</w:t>
            </w:r>
          </w:p>
        </w:tc>
      </w:tr>
      <w:tr>
        <w:tc>
          <w:tcPr>
            <w:tcW w:w="3440" w:type="dxa"/>
            <w:tcBorders>
              <w:bottom w:val="single" w:color="D9D9D9" w:sz="4" w:space="0"/>
            </w:tcBorders>
            <w:tcMar>
              <w:left w:w="60" w:type="dxa"/>
              <w:right w:w="60" w:type="dxa"/>
            </w:tcMar>
          </w:tcPr>
          <w:p>
            <w:pPr>
              <w:spacing w:before="20" w:after="20"/>
              <w:rPr>
                <w:sz w:val="18"/>
              </w:rPr>
            </w:pPr>
            <w:r>
              <w:rPr>
                <w:sz w:val="18"/>
              </w:rPr>
              <w:t>4,744</w:t>
            </w:r>
          </w:p>
        </w:tc>
        <w:tc>
          <w:tcPr>
            <w:tcW w:w="1280" w:type="dxa"/>
            <w:tcBorders>
              <w:bottom w:val="single" w:color="D9D9D9" w:sz="4" w:space="0"/>
            </w:tcBorders>
            <w:shd w:val="clear" w:fill="F4CCCC"/>
            <w:tcMar>
              <w:left w:w="60" w:type="dxa"/>
              <w:right w:w="60" w:type="dxa"/>
            </w:tcMar>
          </w:tcPr>
          <w:p>
            <w:pPr>
              <w:spacing w:before="20" w:after="20"/>
              <w:jc w:val="right"/>
              <w:rPr>
                <w:sz w:val="18"/>
              </w:rPr>
            </w:pPr>
            <w:r>
              <w:rPr>
                <w:sz w:val="18"/>
              </w:rPr>
              <w:t>6.0%</w:t>
            </w:r>
          </w:p>
        </w:tc>
        <w:tc>
          <w:tcPr>
            <w:tcW w:w="1280" w:type="dxa"/>
            <w:tcBorders>
              <w:bottom w:val="single" w:color="D9D9D9" w:sz="4" w:space="0"/>
            </w:tcBorders>
            <w:shd w:val="clear" w:fill="F4CCCC"/>
            <w:tcMar>
              <w:left w:w="60" w:type="dxa"/>
              <w:right w:w="60" w:type="dxa"/>
            </w:tcMar>
          </w:tcPr>
          <w:p>
            <w:pPr>
              <w:spacing w:before="20" w:after="20"/>
              <w:jc w:val="right"/>
              <w:rPr>
                <w:sz w:val="18"/>
              </w:rPr>
            </w:pPr>
            <w:r>
              <w:rPr>
                <w:sz w:val="18"/>
              </w:rPr>
              <w:t>7.4%</w:t>
            </w:r>
          </w:p>
        </w:tc>
        <w:tc>
          <w:tcPr>
            <w:tcW w:w="1280" w:type="dxa"/>
            <w:tcBorders>
              <w:bottom w:val="single" w:color="D9D9D9" w:sz="4" w:space="0"/>
            </w:tcBorders>
            <w:shd w:val="clear" w:fill="FCE5CD"/>
            <w:tcMar>
              <w:left w:w="60" w:type="dxa"/>
              <w:right w:w="60" w:type="dxa"/>
            </w:tcMar>
          </w:tcPr>
          <w:p>
            <w:pPr>
              <w:spacing w:before="20" w:after="20"/>
              <w:jc w:val="right"/>
              <w:rPr>
                <w:sz w:val="18"/>
              </w:rPr>
            </w:pPr>
            <w:r>
              <w:rPr>
                <w:sz w:val="18"/>
              </w:rPr>
              <w:t>8.8%</w:t>
            </w:r>
          </w:p>
        </w:tc>
        <w:tc>
          <w:tcPr>
            <w:tcW w:w="1280" w:type="dxa"/>
            <w:tcBorders>
              <w:bottom w:val="single" w:color="D9D9D9" w:sz="4" w:space="0"/>
            </w:tcBorders>
            <w:shd w:val="clear" w:fill="FFF2CC"/>
            <w:tcMar>
              <w:left w:w="60" w:type="dxa"/>
              <w:right w:w="60" w:type="dxa"/>
            </w:tcMar>
          </w:tcPr>
          <w:p>
            <w:pPr>
              <w:spacing w:before="20" w:after="20"/>
              <w:jc w:val="right"/>
              <w:rPr>
                <w:sz w:val="18"/>
              </w:rPr>
            </w:pPr>
            <w:r>
              <w:rPr>
                <w:sz w:val="18"/>
              </w:rPr>
              <w:t>10.1%</w:t>
            </w:r>
          </w:p>
        </w:tc>
        <w:tc>
          <w:tcPr>
            <w:tcW w:w="1280" w:type="dxa"/>
            <w:tcBorders>
              <w:bottom w:val="single" w:color="D9D9D9" w:sz="4" w:space="0"/>
            </w:tcBorders>
            <w:shd w:val="clear" w:fill="FFF2CC"/>
            <w:tcMar>
              <w:left w:w="60" w:type="dxa"/>
              <w:right w:w="60" w:type="dxa"/>
            </w:tcMar>
          </w:tcPr>
          <w:p>
            <w:pPr>
              <w:spacing w:before="20" w:after="20"/>
              <w:jc w:val="right"/>
              <w:rPr>
                <w:sz w:val="18"/>
              </w:rPr>
            </w:pPr>
            <w:r>
              <w:rPr>
                <w:sz w:val="18"/>
              </w:rPr>
              <w:t>11.3%</w:t>
            </w:r>
          </w:p>
        </w:tc>
      </w:tr>
      <w:tr>
        <w:tc>
          <w:tcPr>
            <w:tcW w:w="3440" w:type="dxa"/>
            <w:tcBorders>
              <w:bottom w:val="single" w:color="D9D9D9" w:sz="4" w:space="0"/>
            </w:tcBorders>
            <w:tcMar>
              <w:left w:w="60" w:type="dxa"/>
              <w:right w:w="60" w:type="dxa"/>
            </w:tcMar>
          </w:tcPr>
          <w:p>
            <w:pPr>
              <w:spacing w:before="20" w:after="20"/>
              <w:rPr>
                <w:sz w:val="18"/>
              </w:rPr>
            </w:pPr>
            <w:r>
              <w:rPr>
                <w:sz w:val="18"/>
              </w:rPr>
              <w:t>4,896</w:t>
            </w:r>
          </w:p>
        </w:tc>
        <w:tc>
          <w:tcPr>
            <w:tcW w:w="1280" w:type="dxa"/>
            <w:tcBorders>
              <w:bottom w:val="single" w:color="D9D9D9" w:sz="4" w:space="0"/>
            </w:tcBorders>
            <w:shd w:val="clear" w:fill="F4CCCC"/>
            <w:tcMar>
              <w:left w:w="60" w:type="dxa"/>
              <w:right w:w="60" w:type="dxa"/>
            </w:tcMar>
          </w:tcPr>
          <w:p>
            <w:pPr>
              <w:spacing w:before="20" w:after="20"/>
              <w:jc w:val="right"/>
              <w:rPr>
                <w:sz w:val="18"/>
              </w:rPr>
            </w:pPr>
            <w:r>
              <w:rPr>
                <w:sz w:val="18"/>
              </w:rPr>
              <w:t>5.1%</w:t>
            </w:r>
          </w:p>
        </w:tc>
        <w:tc>
          <w:tcPr>
            <w:tcW w:w="1280" w:type="dxa"/>
            <w:tcBorders>
              <w:bottom w:val="single" w:color="D9D9D9" w:sz="4" w:space="0"/>
            </w:tcBorders>
            <w:shd w:val="clear" w:fill="F4CCCC"/>
            <w:tcMar>
              <w:left w:w="60" w:type="dxa"/>
              <w:right w:w="60" w:type="dxa"/>
            </w:tcMar>
          </w:tcPr>
          <w:p>
            <w:pPr>
              <w:spacing w:before="20" w:after="20"/>
              <w:jc w:val="right"/>
              <w:rPr>
                <w:sz w:val="18"/>
              </w:rPr>
            </w:pPr>
            <w:r>
              <w:rPr>
                <w:sz w:val="18"/>
              </w:rPr>
              <w:t>6.5%</w:t>
            </w:r>
          </w:p>
        </w:tc>
        <w:tc>
          <w:tcPr>
            <w:tcW w:w="1280" w:type="dxa"/>
            <w:tcBorders>
              <w:bottom w:val="single" w:color="D9D9D9" w:sz="4" w:space="0"/>
            </w:tcBorders>
            <w:shd w:val="clear" w:fill="F4CCCC"/>
            <w:tcMar>
              <w:left w:w="60" w:type="dxa"/>
              <w:right w:w="60" w:type="dxa"/>
            </w:tcMar>
          </w:tcPr>
          <w:p>
            <w:pPr>
              <w:spacing w:before="20" w:after="20"/>
              <w:jc w:val="right"/>
              <w:rPr>
                <w:sz w:val="18"/>
              </w:rPr>
            </w:pPr>
            <w:r>
              <w:rPr>
                <w:sz w:val="18"/>
              </w:rPr>
              <w:t>7.9%</w:t>
            </w:r>
          </w:p>
        </w:tc>
        <w:tc>
          <w:tcPr>
            <w:tcW w:w="1280" w:type="dxa"/>
            <w:tcBorders>
              <w:bottom w:val="single" w:color="D9D9D9" w:sz="4" w:space="0"/>
            </w:tcBorders>
            <w:shd w:val="clear" w:fill="FCE5CD"/>
            <w:tcMar>
              <w:left w:w="60" w:type="dxa"/>
              <w:right w:w="60" w:type="dxa"/>
            </w:tcMar>
          </w:tcPr>
          <w:p>
            <w:pPr>
              <w:spacing w:before="20" w:after="20"/>
              <w:jc w:val="right"/>
              <w:rPr>
                <w:sz w:val="18"/>
              </w:rPr>
            </w:pPr>
            <w:r>
              <w:rPr>
                <w:sz w:val="18"/>
              </w:rPr>
              <w:t>9.2%</w:t>
            </w:r>
          </w:p>
        </w:tc>
        <w:tc>
          <w:tcPr>
            <w:tcW w:w="1280" w:type="dxa"/>
            <w:tcBorders>
              <w:bottom w:val="single" w:color="D9D9D9" w:sz="4" w:space="0"/>
            </w:tcBorders>
            <w:shd w:val="clear" w:fill="FFF2CC"/>
            <w:tcMar>
              <w:left w:w="60" w:type="dxa"/>
              <w:right w:w="60" w:type="dxa"/>
            </w:tcMar>
          </w:tcPr>
          <w:p>
            <w:pPr>
              <w:spacing w:before="20" w:after="20"/>
              <w:jc w:val="right"/>
              <w:rPr>
                <w:sz w:val="18"/>
              </w:rPr>
            </w:pPr>
            <w:r>
              <w:rPr>
                <w:sz w:val="18"/>
              </w:rPr>
              <w:t>10.4%</w:t>
            </w:r>
          </w:p>
        </w:tc>
      </w:tr>
    </w:tbl>
    <w:p>
      <w:pPr>
        <w:spacing w:after="40"/>
      </w:pPr>
      <w:r>
        <w:t/>
      </w:r>
    </w:p>
    <w:p>
      <w:pPr>
        <w:pStyle w:val="Normal"/>
        <w:spacing w:before="0" w:after="40"/>
        <w:rPr>
          <w:b/>
        </w:rPr>
      </w:pPr>
      <w:r>
        <w:rPr>
          <w:b/>
        </w:rPr>
        <w:t>Gross MOIC sensitivity, five-year hold: same axes.</w:t>
      </w:r>
    </w:p>
    <w:tbl>
      <w:tblPr>
        <w:tblW w:w="9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
      <w:tblGrid>
        <w:gridCol w:w="1440"/>
        <w:gridCol w:w="1440"/>
        <w:gridCol w:w="1440"/>
        <w:gridCol w:w="1440"/>
        <w:gridCol w:w="1440"/>
        <w:gridCol w:w="1440"/>
      </w:tblGrid>
      <w:tr>
        <w:trPr>
          <w:tblHeader/>
        </w:trPr>
        <w:tc>
          <w:tcPr>
            <w:tcW w:w="3440" w:type="dxa"/>
            <w:tcBorders>
              <w:bottom w:val="single" w:color="D9D9D9" w:sz="4" w:space="0"/>
            </w:tcBorders>
            <w:shd w:val="clear" w:fill="F2F0EC"/>
            <w:tcMar>
              <w:left w:w="60" w:type="dxa"/>
              <w:right w:w="60" w:type="dxa"/>
            </w:tcMar>
          </w:tcPr>
          <w:p>
            <w:pPr>
              <w:spacing w:before="20" w:after="20"/>
              <w:rPr>
                <w:b/>
                <w:sz w:val="18"/>
              </w:rPr>
            </w:pPr>
            <w:r>
              <w:rPr>
                <w:b/>
                <w:sz w:val="18"/>
              </w:rPr>
              <w:t>Entry EV ($M)</w:t>
            </w:r>
          </w:p>
        </w:tc>
        <w:tc>
          <w:tcPr>
            <w:tcW w:w="1280" w:type="dxa"/>
            <w:tcBorders>
              <w:bottom w:val="single" w:color="D9D9D9" w:sz="4" w:space="0"/>
            </w:tcBorders>
            <w:shd w:val="clear" w:fill="F2F0EC"/>
            <w:tcMar>
              <w:left w:w="60" w:type="dxa"/>
              <w:right w:w="60" w:type="dxa"/>
            </w:tcMar>
          </w:tcPr>
          <w:p>
            <w:pPr>
              <w:spacing w:before="20" w:after="20"/>
              <w:jc w:val="right"/>
              <w:rPr>
                <w:b/>
                <w:sz w:val="18"/>
              </w:rPr>
            </w:pPr>
            <w:r>
              <w:rPr>
                <w:b/>
                <w:sz w:val="18"/>
              </w:rPr>
              <w:t>15.7x</w:t>
            </w:r>
          </w:p>
        </w:tc>
        <w:tc>
          <w:tcPr>
            <w:tcW w:w="1280" w:type="dxa"/>
            <w:tcBorders>
              <w:bottom w:val="single" w:color="D9D9D9" w:sz="4" w:space="0"/>
            </w:tcBorders>
            <w:shd w:val="clear" w:fill="F2F0EC"/>
            <w:tcMar>
              <w:left w:w="60" w:type="dxa"/>
              <w:right w:w="60" w:type="dxa"/>
            </w:tcMar>
          </w:tcPr>
          <w:p>
            <w:pPr>
              <w:spacing w:before="20" w:after="20"/>
              <w:jc w:val="right"/>
              <w:rPr>
                <w:b/>
                <w:sz w:val="18"/>
              </w:rPr>
            </w:pPr>
            <w:r>
              <w:rPr>
                <w:b/>
                <w:sz w:val="18"/>
              </w:rPr>
              <w:t>16.7x</w:t>
            </w:r>
          </w:p>
        </w:tc>
        <w:tc>
          <w:tcPr>
            <w:tcW w:w="1280" w:type="dxa"/>
            <w:tcBorders>
              <w:bottom w:val="single" w:color="D9D9D9" w:sz="4" w:space="0"/>
            </w:tcBorders>
            <w:shd w:val="clear" w:fill="F2F0EC"/>
            <w:tcMar>
              <w:left w:w="60" w:type="dxa"/>
              <w:right w:w="60" w:type="dxa"/>
            </w:tcMar>
          </w:tcPr>
          <w:p>
            <w:pPr>
              <w:spacing w:before="20" w:after="20"/>
              <w:jc w:val="right"/>
              <w:rPr>
                <w:b/>
                <w:sz w:val="18"/>
              </w:rPr>
            </w:pPr>
            <w:r>
              <w:rPr>
                <w:b/>
                <w:sz w:val="18"/>
              </w:rPr>
              <w:t>17.7x</w:t>
            </w:r>
          </w:p>
        </w:tc>
        <w:tc>
          <w:tcPr>
            <w:tcW w:w="1280" w:type="dxa"/>
            <w:tcBorders>
              <w:bottom w:val="single" w:color="D9D9D9" w:sz="4" w:space="0"/>
            </w:tcBorders>
            <w:shd w:val="clear" w:fill="F2F0EC"/>
            <w:tcMar>
              <w:left w:w="60" w:type="dxa"/>
              <w:right w:w="60" w:type="dxa"/>
            </w:tcMar>
          </w:tcPr>
          <w:p>
            <w:pPr>
              <w:spacing w:before="20" w:after="20"/>
              <w:jc w:val="right"/>
              <w:rPr>
                <w:b/>
                <w:sz w:val="18"/>
              </w:rPr>
            </w:pPr>
            <w:r>
              <w:rPr>
                <w:b/>
                <w:sz w:val="18"/>
              </w:rPr>
              <w:t>18.7x</w:t>
            </w:r>
          </w:p>
        </w:tc>
        <w:tc>
          <w:tcPr>
            <w:tcW w:w="1280" w:type="dxa"/>
            <w:tcBorders>
              <w:bottom w:val="single" w:color="D9D9D9" w:sz="4" w:space="0"/>
            </w:tcBorders>
            <w:shd w:val="clear" w:fill="F2F0EC"/>
            <w:tcMar>
              <w:left w:w="60" w:type="dxa"/>
              <w:right w:w="60" w:type="dxa"/>
            </w:tcMar>
          </w:tcPr>
          <w:p>
            <w:pPr>
              <w:spacing w:before="20" w:after="20"/>
              <w:jc w:val="right"/>
              <w:rPr>
                <w:b/>
                <w:sz w:val="18"/>
              </w:rPr>
            </w:pPr>
            <w:r>
              <w:rPr>
                <w:b/>
                <w:sz w:val="18"/>
              </w:rPr>
              <w:t>19.7x</w:t>
            </w:r>
          </w:p>
        </w:tc>
      </w:tr>
      <w:tr>
        <w:tc>
          <w:tcPr>
            <w:tcW w:w="3440" w:type="dxa"/>
            <w:tcBorders>
              <w:bottom w:val="single" w:color="D9D9D9" w:sz="4" w:space="0"/>
            </w:tcBorders>
            <w:tcMar>
              <w:left w:w="60" w:type="dxa"/>
              <w:right w:w="60" w:type="dxa"/>
            </w:tcMar>
          </w:tcPr>
          <w:p>
            <w:pPr>
              <w:spacing w:before="20" w:after="20"/>
              <w:rPr>
                <w:sz w:val="18"/>
              </w:rPr>
            </w:pPr>
            <w:r>
              <w:rPr>
                <w:sz w:val="18"/>
              </w:rPr>
              <w:t>4,286</w:t>
            </w:r>
          </w:p>
        </w:tc>
        <w:tc>
          <w:tcPr>
            <w:tcW w:w="1280" w:type="dxa"/>
            <w:tcBorders>
              <w:bottom w:val="single" w:color="D9D9D9" w:sz="4" w:space="0"/>
            </w:tcBorders>
            <w:shd w:val="clear" w:fill="FCE5CD"/>
            <w:tcMar>
              <w:left w:w="60" w:type="dxa"/>
              <w:right w:w="60" w:type="dxa"/>
            </w:tcMar>
          </w:tcPr>
          <w:p>
            <w:pPr>
              <w:spacing w:before="20" w:after="20"/>
              <w:jc w:val="right"/>
              <w:rPr>
                <w:sz w:val="18"/>
              </w:rPr>
            </w:pPr>
            <w:r>
              <w:rPr>
                <w:sz w:val="18"/>
              </w:rPr>
              <w:t>1.54x</w:t>
            </w:r>
          </w:p>
        </w:tc>
        <w:tc>
          <w:tcPr>
            <w:tcW w:w="1280" w:type="dxa"/>
            <w:tcBorders>
              <w:bottom w:val="single" w:color="D9D9D9" w:sz="4" w:space="0"/>
            </w:tcBorders>
            <w:shd w:val="clear" w:fill="FFF2CC"/>
            <w:tcMar>
              <w:left w:w="60" w:type="dxa"/>
              <w:right w:w="60" w:type="dxa"/>
            </w:tcMar>
          </w:tcPr>
          <w:p>
            <w:pPr>
              <w:spacing w:before="20" w:after="20"/>
              <w:jc w:val="right"/>
              <w:rPr>
                <w:sz w:val="18"/>
              </w:rPr>
            </w:pPr>
            <w:r>
              <w:rPr>
                <w:sz w:val="18"/>
              </w:rPr>
              <w:t>1.64x</w:t>
            </w:r>
          </w:p>
        </w:tc>
        <w:tc>
          <w:tcPr>
            <w:tcW w:w="1280" w:type="dxa"/>
            <w:tcBorders>
              <w:bottom w:val="single" w:color="D9D9D9" w:sz="4" w:space="0"/>
            </w:tcBorders>
            <w:shd w:val="clear" w:fill="D9EAD3"/>
            <w:tcMar>
              <w:left w:w="60" w:type="dxa"/>
              <w:right w:w="60" w:type="dxa"/>
            </w:tcMar>
          </w:tcPr>
          <w:p>
            <w:pPr>
              <w:spacing w:before="20" w:after="20"/>
              <w:jc w:val="right"/>
              <w:rPr>
                <w:sz w:val="18"/>
              </w:rPr>
            </w:pPr>
            <w:r>
              <w:rPr>
                <w:sz w:val="18"/>
              </w:rPr>
              <w:t>1.75x</w:t>
            </w:r>
          </w:p>
        </w:tc>
        <w:tc>
          <w:tcPr>
            <w:tcW w:w="1280" w:type="dxa"/>
            <w:tcBorders>
              <w:bottom w:val="single" w:color="D9D9D9" w:sz="4" w:space="0"/>
            </w:tcBorders>
            <w:shd w:val="clear" w:fill="D9EAD3"/>
            <w:tcMar>
              <w:left w:w="60" w:type="dxa"/>
              <w:right w:w="60" w:type="dxa"/>
            </w:tcMar>
          </w:tcPr>
          <w:p>
            <w:pPr>
              <w:spacing w:before="20" w:after="20"/>
              <w:jc w:val="right"/>
              <w:rPr>
                <w:sz w:val="18"/>
              </w:rPr>
            </w:pPr>
            <w:r>
              <w:rPr>
                <w:sz w:val="18"/>
              </w:rPr>
              <w:t>1.85x</w:t>
            </w:r>
          </w:p>
        </w:tc>
        <w:tc>
          <w:tcPr>
            <w:tcW w:w="1280" w:type="dxa"/>
            <w:tcBorders>
              <w:bottom w:val="single" w:color="D9D9D9" w:sz="4" w:space="0"/>
            </w:tcBorders>
            <w:shd w:val="clear" w:fill="D9EAD3"/>
            <w:tcMar>
              <w:left w:w="60" w:type="dxa"/>
              <w:right w:w="60" w:type="dxa"/>
            </w:tcMar>
          </w:tcPr>
          <w:p>
            <w:pPr>
              <w:spacing w:before="20" w:after="20"/>
              <w:jc w:val="right"/>
              <w:rPr>
                <w:sz w:val="18"/>
              </w:rPr>
            </w:pPr>
            <w:r>
              <w:rPr>
                <w:sz w:val="18"/>
              </w:rPr>
              <w:t>1.96x</w:t>
            </w:r>
          </w:p>
        </w:tc>
      </w:tr>
      <w:tr>
        <w:tc>
          <w:tcPr>
            <w:tcW w:w="3440" w:type="dxa"/>
            <w:tcBorders>
              <w:bottom w:val="single" w:color="D9D9D9" w:sz="4" w:space="0"/>
            </w:tcBorders>
            <w:tcMar>
              <w:left w:w="60" w:type="dxa"/>
              <w:right w:w="60" w:type="dxa"/>
            </w:tcMar>
          </w:tcPr>
          <w:p>
            <w:pPr>
              <w:spacing w:before="20" w:after="20"/>
              <w:rPr>
                <w:sz w:val="18"/>
              </w:rPr>
            </w:pPr>
            <w:r>
              <w:rPr>
                <w:sz w:val="18"/>
              </w:rPr>
              <w:t>4,439</w:t>
            </w:r>
          </w:p>
        </w:tc>
        <w:tc>
          <w:tcPr>
            <w:tcW w:w="1280" w:type="dxa"/>
            <w:tcBorders>
              <w:bottom w:val="single" w:color="D9D9D9" w:sz="4" w:space="0"/>
            </w:tcBorders>
            <w:shd w:val="clear" w:fill="FCE5CD"/>
            <w:tcMar>
              <w:left w:w="60" w:type="dxa"/>
              <w:right w:w="60" w:type="dxa"/>
            </w:tcMar>
          </w:tcPr>
          <w:p>
            <w:pPr>
              <w:spacing w:before="20" w:after="20"/>
              <w:jc w:val="right"/>
              <w:rPr>
                <w:sz w:val="18"/>
              </w:rPr>
            </w:pPr>
            <w:r>
              <w:rPr>
                <w:sz w:val="18"/>
              </w:rPr>
              <w:t>1.47x</w:t>
            </w:r>
          </w:p>
        </w:tc>
        <w:tc>
          <w:tcPr>
            <w:tcW w:w="1280" w:type="dxa"/>
            <w:tcBorders>
              <w:bottom w:val="single" w:color="D9D9D9" w:sz="4" w:space="0"/>
            </w:tcBorders>
            <w:shd w:val="clear" w:fill="FCE5CD"/>
            <w:tcMar>
              <w:left w:w="60" w:type="dxa"/>
              <w:right w:w="60" w:type="dxa"/>
            </w:tcMar>
          </w:tcPr>
          <w:p>
            <w:pPr>
              <w:spacing w:before="20" w:after="20"/>
              <w:jc w:val="right"/>
              <w:rPr>
                <w:sz w:val="18"/>
              </w:rPr>
            </w:pPr>
            <w:r>
              <w:rPr>
                <w:sz w:val="18"/>
              </w:rPr>
              <w:t>1.57x</w:t>
            </w:r>
          </w:p>
        </w:tc>
        <w:tc>
          <w:tcPr>
            <w:tcW w:w="1280" w:type="dxa"/>
            <w:tcBorders>
              <w:bottom w:val="single" w:color="D9D9D9" w:sz="4" w:space="0"/>
            </w:tcBorders>
            <w:shd w:val="clear" w:fill="FFF2CC"/>
            <w:tcMar>
              <w:left w:w="60" w:type="dxa"/>
              <w:right w:w="60" w:type="dxa"/>
            </w:tcMar>
          </w:tcPr>
          <w:p>
            <w:pPr>
              <w:spacing w:before="20" w:after="20"/>
              <w:jc w:val="right"/>
              <w:rPr>
                <w:sz w:val="18"/>
              </w:rPr>
            </w:pPr>
            <w:r>
              <w:rPr>
                <w:sz w:val="18"/>
              </w:rPr>
              <w:t>1.67x</w:t>
            </w:r>
          </w:p>
        </w:tc>
        <w:tc>
          <w:tcPr>
            <w:tcW w:w="1280" w:type="dxa"/>
            <w:tcBorders>
              <w:bottom w:val="single" w:color="D9D9D9" w:sz="4" w:space="0"/>
            </w:tcBorders>
            <w:shd w:val="clear" w:fill="D9EAD3"/>
            <w:tcMar>
              <w:left w:w="60" w:type="dxa"/>
              <w:right w:w="60" w:type="dxa"/>
            </w:tcMar>
          </w:tcPr>
          <w:p>
            <w:pPr>
              <w:spacing w:before="20" w:after="20"/>
              <w:jc w:val="right"/>
              <w:rPr>
                <w:sz w:val="18"/>
              </w:rPr>
            </w:pPr>
            <w:r>
              <w:rPr>
                <w:sz w:val="18"/>
              </w:rPr>
              <w:t>1.77x</w:t>
            </w:r>
          </w:p>
        </w:tc>
        <w:tc>
          <w:tcPr>
            <w:tcW w:w="1280" w:type="dxa"/>
            <w:tcBorders>
              <w:bottom w:val="single" w:color="D9D9D9" w:sz="4" w:space="0"/>
            </w:tcBorders>
            <w:shd w:val="clear" w:fill="D9EAD3"/>
            <w:tcMar>
              <w:left w:w="60" w:type="dxa"/>
              <w:right w:w="60" w:type="dxa"/>
            </w:tcMar>
          </w:tcPr>
          <w:p>
            <w:pPr>
              <w:spacing w:before="20" w:after="20"/>
              <w:jc w:val="right"/>
              <w:rPr>
                <w:sz w:val="18"/>
              </w:rPr>
            </w:pPr>
            <w:r>
              <w:rPr>
                <w:sz w:val="18"/>
              </w:rPr>
              <w:t>1.87x</w:t>
            </w:r>
          </w:p>
        </w:tc>
      </w:tr>
      <w:tr>
        <w:tc>
          <w:tcPr>
            <w:tcW w:w="3440" w:type="dxa"/>
            <w:tcBorders>
              <w:bottom w:val="single" w:color="D9D9D9" w:sz="4" w:space="0"/>
            </w:tcBorders>
            <w:tcMar>
              <w:left w:w="60" w:type="dxa"/>
              <w:right w:w="60" w:type="dxa"/>
            </w:tcMar>
          </w:tcPr>
          <w:p>
            <w:pPr>
              <w:spacing w:before="20" w:after="20"/>
              <w:rPr>
                <w:sz w:val="18"/>
              </w:rPr>
            </w:pPr>
            <w:r>
              <w:rPr>
                <w:sz w:val="18"/>
              </w:rPr>
              <w:t>4,591</w:t>
            </w:r>
          </w:p>
        </w:tc>
        <w:tc>
          <w:tcPr>
            <w:tcW w:w="1280" w:type="dxa"/>
            <w:tcBorders>
              <w:bottom w:val="single" w:color="D9D9D9" w:sz="4" w:space="0"/>
            </w:tcBorders>
            <w:shd w:val="clear" w:fill="F4CCCC"/>
            <w:tcMar>
              <w:left w:w="60" w:type="dxa"/>
              <w:right w:w="60" w:type="dxa"/>
            </w:tcMar>
          </w:tcPr>
          <w:p>
            <w:pPr>
              <w:spacing w:before="20" w:after="20"/>
              <w:jc w:val="right"/>
              <w:rPr>
                <w:sz w:val="18"/>
              </w:rPr>
            </w:pPr>
            <w:r>
              <w:rPr>
                <w:sz w:val="18"/>
              </w:rPr>
              <w:t>1.40x</w:t>
            </w:r>
          </w:p>
        </w:tc>
        <w:tc>
          <w:tcPr>
            <w:tcW w:w="1280" w:type="dxa"/>
            <w:tcBorders>
              <w:bottom w:val="single" w:color="D9D9D9" w:sz="4" w:space="0"/>
            </w:tcBorders>
            <w:shd w:val="clear" w:fill="FCE5CD"/>
            <w:tcMar>
              <w:left w:w="60" w:type="dxa"/>
              <w:right w:w="60" w:type="dxa"/>
            </w:tcMar>
          </w:tcPr>
          <w:p>
            <w:pPr>
              <w:spacing w:before="20" w:after="20"/>
              <w:jc w:val="right"/>
              <w:rPr>
                <w:sz w:val="18"/>
              </w:rPr>
            </w:pPr>
            <w:r>
              <w:rPr>
                <w:sz w:val="18"/>
              </w:rPr>
              <w:t>1.50x</w:t>
            </w:r>
          </w:p>
        </w:tc>
        <w:tc>
          <w:tcPr>
            <w:tcW w:w="1280" w:type="dxa"/>
            <w:tcBorders>
              <w:top w:val="single" w:color="002060" w:sz="8" w:space="0"/>
              <w:left w:val="single" w:color="002060" w:sz="8" w:space="0"/>
              <w:bottom w:val="single" w:color="002060" w:sz="8" w:space="0"/>
              <w:right w:val="single" w:color="002060" w:sz="8" w:space="0"/>
              <w:insideH w:val="single" w:color="002060" w:sz="8" w:space="0"/>
              <w:insideV w:val="single" w:color="002060" w:sz="8" w:space="0"/>
            </w:tcBorders>
            <w:shd w:val="clear" w:fill="FCE5CD"/>
            <w:tcMar>
              <w:left w:w="60" w:type="dxa"/>
              <w:right w:w="60" w:type="dxa"/>
            </w:tcMar>
          </w:tcPr>
          <w:p>
            <w:pPr>
              <w:spacing w:before="20" w:after="20"/>
              <w:jc w:val="right"/>
              <w:rPr>
                <w:b/>
                <w:sz w:val="18"/>
              </w:rPr>
            </w:pPr>
            <w:bookmarkStart w:id="180" w:name="citei-c739"/>
            <w:r>
              <w:rPr>
                <w:b/>
                <w:sz w:val="18"/>
              </w:rPr>
              <w:t>1.59x</w:t>
            </w:r>
            <w:bookmarkEnd w:id="180"/>
          </w:p>
        </w:tc>
        <w:tc>
          <w:tcPr>
            <w:tcW w:w="1280" w:type="dxa"/>
            <w:tcBorders>
              <w:bottom w:val="single" w:color="D9D9D9" w:sz="4" w:space="0"/>
            </w:tcBorders>
            <w:shd w:val="clear" w:fill="FFF2CC"/>
            <w:tcMar>
              <w:left w:w="60" w:type="dxa"/>
              <w:right w:w="60" w:type="dxa"/>
            </w:tcMar>
          </w:tcPr>
          <w:p>
            <w:pPr>
              <w:spacing w:before="20" w:after="20"/>
              <w:jc w:val="right"/>
              <w:rPr>
                <w:sz w:val="18"/>
              </w:rPr>
            </w:pPr>
            <w:r>
              <w:rPr>
                <w:sz w:val="18"/>
              </w:rPr>
              <w:t>1.69x</w:t>
            </w:r>
          </w:p>
        </w:tc>
        <w:tc>
          <w:tcPr>
            <w:tcW w:w="1280" w:type="dxa"/>
            <w:tcBorders>
              <w:bottom w:val="single" w:color="D9D9D9" w:sz="4" w:space="0"/>
            </w:tcBorders>
            <w:shd w:val="clear" w:fill="D9EAD3"/>
            <w:tcMar>
              <w:left w:w="60" w:type="dxa"/>
              <w:right w:w="60" w:type="dxa"/>
            </w:tcMar>
          </w:tcPr>
          <w:p>
            <w:pPr>
              <w:spacing w:before="20" w:after="20"/>
              <w:jc w:val="right"/>
              <w:rPr>
                <w:sz w:val="18"/>
              </w:rPr>
            </w:pPr>
            <w:r>
              <w:rPr>
                <w:sz w:val="18"/>
              </w:rPr>
              <w:t>1.79x</w:t>
            </w:r>
          </w:p>
        </w:tc>
      </w:tr>
      <w:tr>
        <w:tc>
          <w:tcPr>
            <w:tcW w:w="3440" w:type="dxa"/>
            <w:tcBorders>
              <w:bottom w:val="single" w:color="D9D9D9" w:sz="4" w:space="0"/>
            </w:tcBorders>
            <w:tcMar>
              <w:left w:w="60" w:type="dxa"/>
              <w:right w:w="60" w:type="dxa"/>
            </w:tcMar>
          </w:tcPr>
          <w:p>
            <w:pPr>
              <w:spacing w:before="20" w:after="20"/>
              <w:rPr>
                <w:sz w:val="18"/>
              </w:rPr>
            </w:pPr>
            <w:r>
              <w:rPr>
                <w:sz w:val="18"/>
              </w:rPr>
              <w:t>4,744</w:t>
            </w:r>
          </w:p>
        </w:tc>
        <w:tc>
          <w:tcPr>
            <w:tcW w:w="1280" w:type="dxa"/>
            <w:tcBorders>
              <w:bottom w:val="single" w:color="D9D9D9" w:sz="4" w:space="0"/>
            </w:tcBorders>
            <w:shd w:val="clear" w:fill="F4CCCC"/>
            <w:tcMar>
              <w:left w:w="60" w:type="dxa"/>
              <w:right w:w="60" w:type="dxa"/>
            </w:tcMar>
          </w:tcPr>
          <w:p>
            <w:pPr>
              <w:spacing w:before="20" w:after="20"/>
              <w:jc w:val="right"/>
              <w:rPr>
                <w:sz w:val="18"/>
              </w:rPr>
            </w:pPr>
            <w:r>
              <w:rPr>
                <w:sz w:val="18"/>
              </w:rPr>
              <w:t>1.34x</w:t>
            </w:r>
          </w:p>
        </w:tc>
        <w:tc>
          <w:tcPr>
            <w:tcW w:w="1280" w:type="dxa"/>
            <w:tcBorders>
              <w:bottom w:val="single" w:color="D9D9D9" w:sz="4" w:space="0"/>
            </w:tcBorders>
            <w:shd w:val="clear" w:fill="F4CCCC"/>
            <w:tcMar>
              <w:left w:w="60" w:type="dxa"/>
              <w:right w:w="60" w:type="dxa"/>
            </w:tcMar>
          </w:tcPr>
          <w:p>
            <w:pPr>
              <w:spacing w:before="20" w:after="20"/>
              <w:jc w:val="right"/>
              <w:rPr>
                <w:sz w:val="18"/>
              </w:rPr>
            </w:pPr>
            <w:r>
              <w:rPr>
                <w:sz w:val="18"/>
              </w:rPr>
              <w:t>1.43x</w:t>
            </w:r>
          </w:p>
        </w:tc>
        <w:tc>
          <w:tcPr>
            <w:tcW w:w="1280" w:type="dxa"/>
            <w:tcBorders>
              <w:bottom w:val="single" w:color="D9D9D9" w:sz="4" w:space="0"/>
            </w:tcBorders>
            <w:shd w:val="clear" w:fill="FCE5CD"/>
            <w:tcMar>
              <w:left w:w="60" w:type="dxa"/>
              <w:right w:w="60" w:type="dxa"/>
            </w:tcMar>
          </w:tcPr>
          <w:p>
            <w:pPr>
              <w:spacing w:before="20" w:after="20"/>
              <w:jc w:val="right"/>
              <w:rPr>
                <w:sz w:val="18"/>
              </w:rPr>
            </w:pPr>
            <w:r>
              <w:rPr>
                <w:sz w:val="18"/>
              </w:rPr>
              <w:t>1.52x</w:t>
            </w:r>
          </w:p>
        </w:tc>
        <w:tc>
          <w:tcPr>
            <w:tcW w:w="1280" w:type="dxa"/>
            <w:tcBorders>
              <w:bottom w:val="single" w:color="D9D9D9" w:sz="4" w:space="0"/>
            </w:tcBorders>
            <w:shd w:val="clear" w:fill="FFF2CC"/>
            <w:tcMar>
              <w:left w:w="60" w:type="dxa"/>
              <w:right w:w="60" w:type="dxa"/>
            </w:tcMar>
          </w:tcPr>
          <w:p>
            <w:pPr>
              <w:spacing w:before="20" w:after="20"/>
              <w:jc w:val="right"/>
              <w:rPr>
                <w:sz w:val="18"/>
              </w:rPr>
            </w:pPr>
            <w:r>
              <w:rPr>
                <w:sz w:val="18"/>
              </w:rPr>
              <w:t>1.62x</w:t>
            </w:r>
          </w:p>
        </w:tc>
        <w:tc>
          <w:tcPr>
            <w:tcW w:w="1280" w:type="dxa"/>
            <w:tcBorders>
              <w:bottom w:val="single" w:color="D9D9D9" w:sz="4" w:space="0"/>
            </w:tcBorders>
            <w:shd w:val="clear" w:fill="FFF2CC"/>
            <w:tcMar>
              <w:left w:w="60" w:type="dxa"/>
              <w:right w:w="60" w:type="dxa"/>
            </w:tcMar>
          </w:tcPr>
          <w:p>
            <w:pPr>
              <w:spacing w:before="20" w:after="20"/>
              <w:jc w:val="right"/>
              <w:rPr>
                <w:sz w:val="18"/>
              </w:rPr>
            </w:pPr>
            <w:r>
              <w:rPr>
                <w:sz w:val="18"/>
              </w:rPr>
              <w:t>1.71x</w:t>
            </w:r>
          </w:p>
        </w:tc>
      </w:tr>
      <w:tr>
        <w:tc>
          <w:tcPr>
            <w:tcW w:w="3440" w:type="dxa"/>
            <w:tcBorders>
              <w:bottom w:val="single" w:color="D9D9D9" w:sz="4" w:space="0"/>
            </w:tcBorders>
            <w:tcMar>
              <w:left w:w="60" w:type="dxa"/>
              <w:right w:w="60" w:type="dxa"/>
            </w:tcMar>
          </w:tcPr>
          <w:p>
            <w:pPr>
              <w:spacing w:before="20" w:after="20"/>
              <w:rPr>
                <w:sz w:val="18"/>
              </w:rPr>
            </w:pPr>
            <w:r>
              <w:rPr>
                <w:sz w:val="18"/>
              </w:rPr>
              <w:t>4,896</w:t>
            </w:r>
          </w:p>
        </w:tc>
        <w:tc>
          <w:tcPr>
            <w:tcW w:w="1280" w:type="dxa"/>
            <w:tcBorders>
              <w:bottom w:val="single" w:color="D9D9D9" w:sz="4" w:space="0"/>
            </w:tcBorders>
            <w:shd w:val="clear" w:fill="F4CCCC"/>
            <w:tcMar>
              <w:left w:w="60" w:type="dxa"/>
              <w:right w:w="60" w:type="dxa"/>
            </w:tcMar>
          </w:tcPr>
          <w:p>
            <w:pPr>
              <w:spacing w:before="20" w:after="20"/>
              <w:jc w:val="right"/>
              <w:rPr>
                <w:sz w:val="18"/>
              </w:rPr>
            </w:pPr>
            <w:r>
              <w:rPr>
                <w:sz w:val="18"/>
              </w:rPr>
              <w:t>1.28x</w:t>
            </w:r>
          </w:p>
        </w:tc>
        <w:tc>
          <w:tcPr>
            <w:tcW w:w="1280" w:type="dxa"/>
            <w:tcBorders>
              <w:bottom w:val="single" w:color="D9D9D9" w:sz="4" w:space="0"/>
            </w:tcBorders>
            <w:shd w:val="clear" w:fill="F4CCCC"/>
            <w:tcMar>
              <w:left w:w="60" w:type="dxa"/>
              <w:right w:w="60" w:type="dxa"/>
            </w:tcMar>
          </w:tcPr>
          <w:p>
            <w:pPr>
              <w:spacing w:before="20" w:after="20"/>
              <w:jc w:val="right"/>
              <w:rPr>
                <w:sz w:val="18"/>
              </w:rPr>
            </w:pPr>
            <w:r>
              <w:rPr>
                <w:sz w:val="18"/>
              </w:rPr>
              <w:t>1.37x</w:t>
            </w:r>
          </w:p>
        </w:tc>
        <w:tc>
          <w:tcPr>
            <w:tcW w:w="1280" w:type="dxa"/>
            <w:tcBorders>
              <w:bottom w:val="single" w:color="D9D9D9" w:sz="4" w:space="0"/>
            </w:tcBorders>
            <w:shd w:val="clear" w:fill="FCE5CD"/>
            <w:tcMar>
              <w:left w:w="60" w:type="dxa"/>
              <w:right w:w="60" w:type="dxa"/>
            </w:tcMar>
          </w:tcPr>
          <w:p>
            <w:pPr>
              <w:spacing w:before="20" w:after="20"/>
              <w:jc w:val="right"/>
              <w:rPr>
                <w:sz w:val="18"/>
              </w:rPr>
            </w:pPr>
            <w:r>
              <w:rPr>
                <w:sz w:val="18"/>
              </w:rPr>
              <w:t>1.46x</w:t>
            </w:r>
          </w:p>
        </w:tc>
        <w:tc>
          <w:tcPr>
            <w:tcW w:w="1280" w:type="dxa"/>
            <w:tcBorders>
              <w:bottom w:val="single" w:color="D9D9D9" w:sz="4" w:space="0"/>
            </w:tcBorders>
            <w:shd w:val="clear" w:fill="FCE5CD"/>
            <w:tcMar>
              <w:left w:w="60" w:type="dxa"/>
              <w:right w:w="60" w:type="dxa"/>
            </w:tcMar>
          </w:tcPr>
          <w:p>
            <w:pPr>
              <w:spacing w:before="20" w:after="20"/>
              <w:jc w:val="right"/>
              <w:rPr>
                <w:sz w:val="18"/>
              </w:rPr>
            </w:pPr>
            <w:r>
              <w:rPr>
                <w:sz w:val="18"/>
              </w:rPr>
              <w:t>1.55x</w:t>
            </w:r>
          </w:p>
        </w:tc>
        <w:tc>
          <w:tcPr>
            <w:tcW w:w="1280" w:type="dxa"/>
            <w:tcBorders>
              <w:bottom w:val="single" w:color="D9D9D9" w:sz="4" w:space="0"/>
            </w:tcBorders>
            <w:shd w:val="clear" w:fill="FFF2CC"/>
            <w:tcMar>
              <w:left w:w="60" w:type="dxa"/>
              <w:right w:w="60" w:type="dxa"/>
            </w:tcMar>
          </w:tcPr>
          <w:p>
            <w:pPr>
              <w:spacing w:before="20" w:after="20"/>
              <w:jc w:val="right"/>
              <w:rPr>
                <w:sz w:val="18"/>
              </w:rPr>
            </w:pPr>
            <w:r>
              <w:rPr>
                <w:sz w:val="18"/>
              </w:rPr>
              <w:t>1.64x</w:t>
            </w:r>
          </w:p>
        </w:tc>
      </w:tr>
    </w:tbl>
    <w:p>
      <w:pPr>
        <w:spacing w:after="40"/>
      </w:pPr>
      <w:r>
        <w:t/>
      </w:r>
    </w:p>
    <w:p>
      <w:pPr>
        <w:pStyle w:val="Normal"/>
        <w:spacing w:before="0" w:after="100"/>
      </w:pPr>
      <w:r>
        <w:t xml:space="preserve">Each $100M of price moves IRR by </w:t>
      </w:r>
      <w:bookmarkStart w:id="181" w:name="citei-c740"/>
      <w:r>
        <w:t>about 0.7 points</w:t>
      </w:r>
      <w:bookmarkEnd w:id="181"/>
      <w:r>
        <w:t xml:space="preserve"> and each turn of exit multiple by about 1.3 points.</w:t>
      </w:r>
    </w:p>
    <w:p>
      <w:pPr>
        <w:pStyle w:val="Heading1"/>
        <w:keepNext/>
        <w:spacing w:before="200" w:after="60"/>
      </w:pPr>
      <w:r>
        <w:t>6. Key risks and mitigants</w:t>
      </w:r>
    </w:p>
    <w:tbl>
      <w:tblPr>
        <w:tblW w:w="9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
      <w:tblGrid>
        <w:gridCol w:w="1440"/>
        <w:gridCol w:w="1440"/>
        <w:gridCol w:w="1440"/>
      </w:tblGrid>
      <w:tr>
        <w:trPr>
          <w:tblHeader/>
        </w:trPr>
        <w:tc>
          <w:tcPr>
            <w:tcW w:w="4080" w:type="dxa"/>
            <w:tcBorders>
              <w:bottom w:val="single" w:color="D9D9D9" w:sz="4" w:space="0"/>
            </w:tcBorders>
            <w:shd w:val="clear" w:fill="F2F0EC"/>
            <w:tcMar>
              <w:left w:w="60" w:type="dxa"/>
              <w:right w:w="60" w:type="dxa"/>
            </w:tcMar>
          </w:tcPr>
          <w:p>
            <w:pPr>
              <w:spacing w:before="20" w:after="20"/>
              <w:rPr>
                <w:b/>
                <w:sz w:val="17"/>
              </w:rPr>
            </w:pPr>
            <w:r>
              <w:rPr>
                <w:b/>
                <w:sz w:val="17"/>
              </w:rPr>
              <w:t>Risk</w:t>
            </w:r>
          </w:p>
        </w:tc>
        <w:tc>
          <w:tcPr>
            <w:tcW w:w="4560" w:type="dxa"/>
            <w:tcBorders>
              <w:bottom w:val="single" w:color="D9D9D9" w:sz="4" w:space="0"/>
            </w:tcBorders>
            <w:shd w:val="clear" w:fill="F2F0EC"/>
            <w:tcMar>
              <w:left w:w="60" w:type="dxa"/>
              <w:right w:w="60" w:type="dxa"/>
            </w:tcMar>
          </w:tcPr>
          <w:p>
            <w:pPr>
              <w:spacing w:before="20" w:after="20"/>
              <w:rPr>
                <w:b/>
                <w:sz w:val="17"/>
              </w:rPr>
            </w:pPr>
            <w:r>
              <w:rPr>
                <w:b/>
                <w:sz w:val="17"/>
              </w:rPr>
              <w:t>Mitigant</w:t>
            </w:r>
          </w:p>
        </w:tc>
        <w:tc>
          <w:tcPr>
            <w:tcW w:w="1200" w:type="dxa"/>
            <w:tcBorders>
              <w:bottom w:val="single" w:color="D9D9D9" w:sz="4" w:space="0"/>
            </w:tcBorders>
            <w:shd w:val="clear" w:fill="F2F0EC"/>
            <w:tcMar>
              <w:left w:w="60" w:type="dxa"/>
              <w:right w:w="60" w:type="dxa"/>
            </w:tcMar>
          </w:tcPr>
          <w:p>
            <w:pPr>
              <w:spacing w:before="20" w:after="20"/>
              <w:rPr>
                <w:b/>
                <w:sz w:val="17"/>
              </w:rPr>
            </w:pPr>
            <w:r>
              <w:rPr>
                <w:b/>
                <w:sz w:val="17"/>
              </w:rPr>
              <w:t>Residual</w:t>
            </w:r>
          </w:p>
        </w:tc>
      </w:tr>
      <w:tr>
        <w:tc>
          <w:tcPr>
            <w:tcW w:w="4080" w:type="dxa"/>
            <w:tcBorders>
              <w:bottom w:val="single" w:color="D9D9D9" w:sz="4" w:space="0"/>
            </w:tcBorders>
            <w:tcMar>
              <w:left w:w="60" w:type="dxa"/>
              <w:right w:w="60" w:type="dxa"/>
            </w:tcMar>
          </w:tcPr>
          <w:p>
            <w:pPr>
              <w:spacing w:before="20" w:after="20"/>
              <w:rPr>
                <w:sz w:val="17"/>
              </w:rPr>
            </w:pPr>
            <w:r>
              <w:rPr>
                <w:sz w:val="17"/>
              </w:rPr>
              <w:t xml:space="preserve">Price discipline: 18.0x FY26 budget adjusted EBITDA on the seller's definitions would cost </w:t>
            </w:r>
            <w:bookmarkStart w:id="182" w:name="citei-c741"/>
            <w:r>
              <w:rPr>
                <w:sz w:val="17"/>
              </w:rPr>
              <w:t>$4,896M</w:t>
            </w:r>
            <w:bookmarkEnd w:id="182"/>
            <w:r>
              <w:rPr>
                <w:sz w:val="17"/>
              </w:rPr>
              <w:t>.</w:t>
            </w:r>
          </w:p>
        </w:tc>
        <w:tc>
          <w:tcPr>
            <w:tcW w:w="4560" w:type="dxa"/>
            <w:tcBorders>
              <w:bottom w:val="single" w:color="D9D9D9" w:sz="4" w:space="0"/>
            </w:tcBorders>
            <w:tcMar>
              <w:left w:w="60" w:type="dxa"/>
              <w:right w:w="60" w:type="dxa"/>
            </w:tcMar>
          </w:tcPr>
          <w:p>
            <w:pPr>
              <w:spacing w:before="20" w:after="20"/>
              <w:rPr>
                <w:sz w:val="17"/>
              </w:rPr>
            </w:pPr>
            <w:r>
              <w:rPr>
                <w:sz w:val="17"/>
              </w:rPr>
              <w:t xml:space="preserve">We bid </w:t>
            </w:r>
            <w:bookmarkStart w:id="183" w:name="citei-c742"/>
            <w:r>
              <w:rPr>
                <w:sz w:val="17"/>
              </w:rPr>
              <w:t>$4,591M</w:t>
            </w:r>
            <w:bookmarkEnd w:id="183"/>
            <w:r>
              <w:rPr>
                <w:sz w:val="17"/>
              </w:rPr>
              <w:t xml:space="preserve">, </w:t>
            </w:r>
            <w:bookmarkStart w:id="184" w:name="citei-c743"/>
            <w:r>
              <w:rPr>
                <w:sz w:val="17"/>
              </w:rPr>
              <w:t>18.2x</w:t>
            </w:r>
            <w:bookmarkEnd w:id="184"/>
            <w:r>
              <w:rPr>
                <w:sz w:val="17"/>
              </w:rPr>
              <w:t xml:space="preserve"> the budget on buy-side definitions; at $4,896M the IRR falls to </w:t>
            </w:r>
            <w:bookmarkStart w:id="185" w:name="citei-c744"/>
            <w:r>
              <w:rPr>
                <w:sz w:val="17"/>
              </w:rPr>
              <w:t>7.9%</w:t>
            </w:r>
            <w:bookmarkEnd w:id="185"/>
            <w:r>
              <w:rPr>
                <w:sz w:val="17"/>
              </w:rPr>
              <w:t>.</w:t>
            </w:r>
          </w:p>
        </w:tc>
        <w:tc>
          <w:tcPr>
            <w:tcW w:w="1200" w:type="dxa"/>
            <w:tcBorders>
              <w:bottom w:val="single" w:color="D9D9D9" w:sz="4" w:space="0"/>
            </w:tcBorders>
            <w:shd w:val="clear" w:fill="F4CCCC"/>
            <w:tcMar>
              <w:left w:w="60" w:type="dxa"/>
              <w:right w:w="60" w:type="dxa"/>
            </w:tcMar>
          </w:tcPr>
          <w:p>
            <w:pPr>
              <w:spacing w:before="20" w:after="20"/>
              <w:rPr>
                <w:sz w:val="17"/>
              </w:rPr>
            </w:pPr>
            <w:r>
              <w:rPr>
                <w:sz w:val="17"/>
              </w:rPr>
              <w:t>High</w:t>
            </w:r>
          </w:p>
        </w:tc>
      </w:tr>
      <w:tr>
        <w:tc>
          <w:tcPr>
            <w:tcW w:w="4080" w:type="dxa"/>
            <w:tcBorders>
              <w:bottom w:val="single" w:color="D9D9D9" w:sz="4" w:space="0"/>
            </w:tcBorders>
            <w:tcMar>
              <w:left w:w="60" w:type="dxa"/>
              <w:right w:w="60" w:type="dxa"/>
            </w:tcMar>
          </w:tcPr>
          <w:p>
            <w:pPr>
              <w:spacing w:before="20" w:after="20"/>
              <w:rPr>
                <w:sz w:val="17"/>
              </w:rPr>
            </w:pPr>
            <w:r>
              <w:rPr>
                <w:sz w:val="17"/>
              </w:rPr>
              <w:t>Hyperscale roll by FY28 on executed terms †: renewals at 95% of fair market rent, with recent deals below in-place rent.</w:t>
            </w:r>
          </w:p>
        </w:tc>
        <w:tc>
          <w:tcPr>
            <w:tcW w:w="4560" w:type="dxa"/>
            <w:tcBorders>
              <w:bottom w:val="single" w:color="D9D9D9" w:sz="4" w:space="0"/>
            </w:tcBorders>
            <w:tcMar>
              <w:left w:w="60" w:type="dxa"/>
              <w:right w:w="60" w:type="dxa"/>
            </w:tcMar>
          </w:tcPr>
          <w:p>
            <w:pPr>
              <w:spacing w:before="20" w:after="20"/>
              <w:rPr>
                <w:sz w:val="17"/>
              </w:rPr>
            </w:pPr>
            <w:r>
              <w:rPr>
                <w:sz w:val="17"/>
              </w:rPr>
              <w:t xml:space="preserve">Priced through the multiple discount and a </w:t>
            </w:r>
            <w:bookmarkStart w:id="186" w:name="citei-c745"/>
            <w:r>
              <w:rPr>
                <w:sz w:val="17"/>
              </w:rPr>
              <w:t>$3.7M</w:t>
            </w:r>
            <w:bookmarkEnd w:id="186"/>
            <w:r>
              <w:rPr>
                <w:sz w:val="17"/>
              </w:rPr>
              <w:t xml:space="preserve"> a year renewal roll-down from FY29; energized capacity in </w:t>
            </w:r>
            <w:bookmarkStart w:id="187" w:name="citei-c746"/>
            <w:r>
              <w:rPr>
                <w:sz w:val="17"/>
              </w:rPr>
              <w:t>sub-2% vacancy</w:t>
            </w:r>
            <w:bookmarkEnd w:id="187"/>
            <w:r>
              <w:rPr>
                <w:sz w:val="17"/>
              </w:rPr>
              <w:t xml:space="preserve"> markets supports renewal.</w:t>
            </w:r>
          </w:p>
        </w:tc>
        <w:tc>
          <w:tcPr>
            <w:tcW w:w="1200" w:type="dxa"/>
            <w:tcBorders>
              <w:bottom w:val="single" w:color="D9D9D9" w:sz="4" w:space="0"/>
            </w:tcBorders>
            <w:shd w:val="clear" w:fill="F4CCCC"/>
            <w:tcMar>
              <w:left w:w="60" w:type="dxa"/>
              <w:right w:w="60" w:type="dxa"/>
            </w:tcMar>
          </w:tcPr>
          <w:p>
            <w:pPr>
              <w:spacing w:before="20" w:after="20"/>
              <w:rPr>
                <w:sz w:val="17"/>
              </w:rPr>
            </w:pPr>
            <w:r>
              <w:rPr>
                <w:sz w:val="17"/>
              </w:rPr>
              <w:t>High</w:t>
            </w:r>
          </w:p>
        </w:tc>
      </w:tr>
      <w:tr>
        <w:tc>
          <w:tcPr>
            <w:tcW w:w="4080" w:type="dxa"/>
            <w:tcBorders>
              <w:bottom w:val="single" w:color="D9D9D9" w:sz="4" w:space="0"/>
            </w:tcBorders>
            <w:tcMar>
              <w:left w:w="60" w:type="dxa"/>
              <w:right w:w="60" w:type="dxa"/>
            </w:tcMar>
          </w:tcPr>
          <w:p>
            <w:pPr>
              <w:spacing w:before="20" w:after="20"/>
              <w:rPr>
                <w:sz w:val="17"/>
              </w:rPr>
            </w:pPr>
            <w:r>
              <w:rPr>
                <w:sz w:val="17"/>
              </w:rPr>
              <w:t xml:space="preserve">Concentration: three hyperscale anchors provide </w:t>
            </w:r>
            <w:bookmarkStart w:id="188" w:name="citei-c747"/>
            <w:r>
              <w:rPr>
                <w:sz w:val="17"/>
              </w:rPr>
              <w:t>56% of ABR</w:t>
            </w:r>
            <w:bookmarkEnd w:id="188"/>
            <w:r>
              <w:rPr>
                <w:sz w:val="17"/>
              </w:rPr>
              <w:t>.</w:t>
            </w:r>
          </w:p>
        </w:tc>
        <w:tc>
          <w:tcPr>
            <w:tcW w:w="4560" w:type="dxa"/>
            <w:tcBorders>
              <w:bottom w:val="single" w:color="D9D9D9" w:sz="4" w:space="0"/>
            </w:tcBorders>
            <w:tcMar>
              <w:left w:w="60" w:type="dxa"/>
              <w:right w:w="60" w:type="dxa"/>
            </w:tcMar>
          </w:tcPr>
          <w:p>
            <w:pPr>
              <w:spacing w:before="20" w:after="20"/>
              <w:rPr>
                <w:sz w:val="17"/>
              </w:rPr>
            </w:pPr>
            <w:r>
              <w:rPr>
                <w:sz w:val="17"/>
              </w:rPr>
              <w:t>Two of the three have pre-leased capacity in flight (</w:t>
            </w:r>
            <w:bookmarkStart w:id="189" w:name="citei-c748"/>
            <w:r>
              <w:rPr>
                <w:sz w:val="17"/>
              </w:rPr>
              <w:t>PHX II 70%, ATL II 40%</w:t>
            </w:r>
            <w:bookmarkEnd w:id="189"/>
            <w:r>
              <w:rPr>
                <w:sz w:val="17"/>
              </w:rPr>
              <w:t>).</w:t>
            </w:r>
          </w:p>
        </w:tc>
        <w:tc>
          <w:tcPr>
            <w:tcW w:w="1200" w:type="dxa"/>
            <w:tcBorders>
              <w:bottom w:val="single" w:color="D9D9D9" w:sz="4" w:space="0"/>
            </w:tcBorders>
            <w:shd w:val="clear" w:fill="FCE5CD"/>
            <w:tcMar>
              <w:left w:w="60" w:type="dxa"/>
              <w:right w:w="60" w:type="dxa"/>
            </w:tcMar>
          </w:tcPr>
          <w:p>
            <w:pPr>
              <w:spacing w:before="20" w:after="20"/>
              <w:rPr>
                <w:sz w:val="17"/>
              </w:rPr>
            </w:pPr>
            <w:r>
              <w:rPr>
                <w:sz w:val="17"/>
              </w:rPr>
              <w:t>Medium</w:t>
            </w:r>
          </w:p>
        </w:tc>
      </w:tr>
      <w:tr>
        <w:tc>
          <w:tcPr>
            <w:tcW w:w="4080" w:type="dxa"/>
            <w:tcBorders>
              <w:bottom w:val="single" w:color="D9D9D9" w:sz="4" w:space="0"/>
            </w:tcBorders>
            <w:tcMar>
              <w:left w:w="60" w:type="dxa"/>
              <w:right w:w="60" w:type="dxa"/>
            </w:tcMar>
          </w:tcPr>
          <w:p>
            <w:pPr>
              <w:spacing w:before="20" w:after="20"/>
              <w:rPr>
                <w:sz w:val="17"/>
              </w:rPr>
            </w:pPr>
            <w:r>
              <w:rPr>
                <w:sz w:val="17"/>
              </w:rPr>
              <w:t>Development execution: PHX II energization in October 2026 with contingency overdrawn and a lien dispute open.</w:t>
            </w:r>
          </w:p>
        </w:tc>
        <w:tc>
          <w:tcPr>
            <w:tcW w:w="4560" w:type="dxa"/>
            <w:tcBorders>
              <w:bottom w:val="single" w:color="D9D9D9" w:sz="4" w:space="0"/>
            </w:tcBorders>
            <w:tcMar>
              <w:left w:w="60" w:type="dxa"/>
              <w:right w:w="60" w:type="dxa"/>
            </w:tcMar>
          </w:tcPr>
          <w:p>
            <w:pPr>
              <w:spacing w:before="20" w:after="20"/>
              <w:rPr>
                <w:sz w:val="17"/>
              </w:rPr>
            </w:pPr>
            <w:bookmarkStart w:id="190" w:name="citei-c749"/>
            <w:r>
              <w:rPr>
                <w:sz w:val="17"/>
              </w:rPr>
              <w:t>$17.6M</w:t>
            </w:r>
            <w:bookmarkEnd w:id="190"/>
            <w:r>
              <w:rPr>
                <w:sz w:val="17"/>
              </w:rPr>
              <w:t xml:space="preserve"> deducted from price; the technical review finds </w:t>
            </w:r>
            <w:bookmarkStart w:id="191" w:name="citei-c750"/>
            <w:r>
              <w:rPr>
                <w:sz w:val="17"/>
              </w:rPr>
              <w:t>October energization and November delivery achievable</w:t>
            </w:r>
            <w:bookmarkEnd w:id="191"/>
            <w:r>
              <w:rPr>
                <w:sz w:val="17"/>
              </w:rPr>
              <w:t>; seller spend is credited only at actual cost.</w:t>
            </w:r>
          </w:p>
        </w:tc>
        <w:tc>
          <w:tcPr>
            <w:tcW w:w="1200" w:type="dxa"/>
            <w:tcBorders>
              <w:bottom w:val="single" w:color="D9D9D9" w:sz="4" w:space="0"/>
            </w:tcBorders>
            <w:shd w:val="clear" w:fill="FCE5CD"/>
            <w:tcMar>
              <w:left w:w="60" w:type="dxa"/>
              <w:right w:w="60" w:type="dxa"/>
            </w:tcMar>
          </w:tcPr>
          <w:p>
            <w:pPr>
              <w:spacing w:before="20" w:after="20"/>
              <w:rPr>
                <w:sz w:val="17"/>
              </w:rPr>
            </w:pPr>
            <w:r>
              <w:rPr>
                <w:sz w:val="17"/>
              </w:rPr>
              <w:t>Medium</w:t>
            </w:r>
          </w:p>
        </w:tc>
      </w:tr>
      <w:tr>
        <w:tc>
          <w:tcPr>
            <w:tcW w:w="4080" w:type="dxa"/>
            <w:tcBorders>
              <w:bottom w:val="single" w:color="D9D9D9" w:sz="4" w:space="0"/>
            </w:tcBorders>
            <w:tcMar>
              <w:left w:w="60" w:type="dxa"/>
              <w:right w:w="60" w:type="dxa"/>
            </w:tcMar>
          </w:tcPr>
          <w:p>
            <w:pPr>
              <w:spacing w:before="20" w:after="20"/>
              <w:rPr>
                <w:sz w:val="17"/>
              </w:rPr>
            </w:pPr>
            <w:r>
              <w:rPr>
                <w:sz w:val="17"/>
              </w:rPr>
              <w:t xml:space="preserve">Financing: the staple is offered on the seller's EBITDA; re-sizing to </w:t>
            </w:r>
            <w:bookmarkStart w:id="192" w:name="citei-c751"/>
            <w:r>
              <w:rPr>
                <w:sz w:val="17"/>
              </w:rPr>
              <w:t>$1,241.4M</w:t>
            </w:r>
            <w:bookmarkEnd w:id="192"/>
            <w:r>
              <w:rPr>
                <w:sz w:val="17"/>
              </w:rPr>
              <w:t xml:space="preserve"> needs lender sign-off.</w:t>
            </w:r>
          </w:p>
        </w:tc>
        <w:tc>
          <w:tcPr>
            <w:tcW w:w="4560" w:type="dxa"/>
            <w:tcBorders>
              <w:bottom w:val="single" w:color="D9D9D9" w:sz="4" w:space="0"/>
            </w:tcBorders>
            <w:tcMar>
              <w:left w:w="60" w:type="dxa"/>
              <w:right w:w="60" w:type="dxa"/>
            </w:tcMar>
          </w:tcPr>
          <w:p>
            <w:pPr>
              <w:spacing w:before="20" w:after="20"/>
              <w:rPr>
                <w:sz w:val="17"/>
              </w:rPr>
            </w:pPr>
            <w:r>
              <w:rPr>
                <w:sz w:val="17"/>
              </w:rPr>
              <w:t xml:space="preserve">Equity is </w:t>
            </w:r>
            <w:bookmarkStart w:id="193" w:name="citei-c752"/>
            <w:r>
              <w:rPr>
                <w:sz w:val="17"/>
              </w:rPr>
              <w:t>73.5% of capitalization</w:t>
            </w:r>
            <w:bookmarkEnd w:id="193"/>
            <w:r>
              <w:rPr>
                <w:sz w:val="17"/>
              </w:rPr>
              <w:t xml:space="preserve"> against the </w:t>
            </w:r>
            <w:bookmarkStart w:id="194" w:name="citei-c753"/>
            <w:r>
              <w:rPr>
                <w:sz w:val="17"/>
              </w:rPr>
              <w:t>40% minimum</w:t>
            </w:r>
            <w:bookmarkEnd w:id="194"/>
            <w:r>
              <w:rPr>
                <w:sz w:val="17"/>
              </w:rPr>
              <w:t xml:space="preserve">; </w:t>
            </w:r>
            <w:bookmarkStart w:id="195" w:name="citei-c754"/>
            <w:r>
              <w:rPr>
                <w:sz w:val="17"/>
              </w:rPr>
              <w:t>no maintenance covenant</w:t>
            </w:r>
            <w:bookmarkEnd w:id="195"/>
            <w:r>
              <w:rPr>
                <w:sz w:val="17"/>
              </w:rPr>
              <w:t xml:space="preserve"> on the term loan.</w:t>
            </w:r>
          </w:p>
        </w:tc>
        <w:tc>
          <w:tcPr>
            <w:tcW w:w="1200" w:type="dxa"/>
            <w:tcBorders>
              <w:bottom w:val="single" w:color="D9D9D9" w:sz="4" w:space="0"/>
            </w:tcBorders>
            <w:shd w:val="clear" w:fill="FCE5CD"/>
            <w:tcMar>
              <w:left w:w="60" w:type="dxa"/>
              <w:right w:w="60" w:type="dxa"/>
            </w:tcMar>
          </w:tcPr>
          <w:p>
            <w:pPr>
              <w:spacing w:before="20" w:after="20"/>
              <w:rPr>
                <w:sz w:val="17"/>
              </w:rPr>
            </w:pPr>
            <w:r>
              <w:rPr>
                <w:sz w:val="17"/>
              </w:rPr>
              <w:t>Medium</w:t>
            </w:r>
          </w:p>
        </w:tc>
      </w:tr>
      <w:tr>
        <w:tc>
          <w:tcPr>
            <w:tcW w:w="4080" w:type="dxa"/>
            <w:tcBorders>
              <w:bottom w:val="single" w:color="D9D9D9" w:sz="4" w:space="0"/>
            </w:tcBorders>
            <w:tcMar>
              <w:left w:w="60" w:type="dxa"/>
              <w:right w:w="60" w:type="dxa"/>
            </w:tcMar>
          </w:tcPr>
          <w:p>
            <w:pPr>
              <w:spacing w:before="20" w:after="20"/>
              <w:rPr>
                <w:sz w:val="17"/>
              </w:rPr>
            </w:pPr>
            <w:r>
              <w:rPr>
                <w:sz w:val="17"/>
              </w:rPr>
              <w:t>Rates: the term loan floats and the staple has no hedging requirement.</w:t>
            </w:r>
          </w:p>
        </w:tc>
        <w:tc>
          <w:tcPr>
            <w:tcW w:w="4560" w:type="dxa"/>
            <w:tcBorders>
              <w:bottom w:val="single" w:color="D9D9D9" w:sz="4" w:space="0"/>
            </w:tcBorders>
            <w:tcMar>
              <w:left w:w="60" w:type="dxa"/>
              <w:right w:w="60" w:type="dxa"/>
            </w:tcMar>
          </w:tcPr>
          <w:p>
            <w:pPr>
              <w:spacing w:before="20" w:after="20"/>
              <w:rPr>
                <w:sz w:val="17"/>
              </w:rPr>
            </w:pPr>
            <w:r>
              <w:rPr>
                <w:sz w:val="17"/>
              </w:rPr>
              <w:t xml:space="preserve">Hedge at closing; the existing swaps terminate on </w:t>
            </w:r>
            <w:bookmarkStart w:id="196" w:name="citei-c755"/>
            <w:r>
              <w:rPr>
                <w:sz w:val="17"/>
              </w:rPr>
              <w:t>30-Jun-27</w:t>
            </w:r>
            <w:bookmarkEnd w:id="196"/>
            <w:r>
              <w:rPr>
                <w:sz w:val="17"/>
              </w:rPr>
              <w:t xml:space="preserve"> and their breakage sits in indebtedness.</w:t>
            </w:r>
          </w:p>
        </w:tc>
        <w:tc>
          <w:tcPr>
            <w:tcW w:w="1200" w:type="dxa"/>
            <w:tcBorders>
              <w:bottom w:val="single" w:color="D9D9D9" w:sz="4" w:space="0"/>
            </w:tcBorders>
            <w:shd w:val="clear" w:fill="FCE5CD"/>
            <w:tcMar>
              <w:left w:w="60" w:type="dxa"/>
              <w:right w:w="60" w:type="dxa"/>
            </w:tcMar>
          </w:tcPr>
          <w:p>
            <w:pPr>
              <w:spacing w:before="20" w:after="20"/>
              <w:rPr>
                <w:sz w:val="17"/>
              </w:rPr>
            </w:pPr>
            <w:r>
              <w:rPr>
                <w:sz w:val="17"/>
              </w:rPr>
              <w:t>Medium</w:t>
            </w:r>
          </w:p>
        </w:tc>
      </w:tr>
      <w:tr>
        <w:tc>
          <w:tcPr>
            <w:tcW w:w="4080" w:type="dxa"/>
            <w:tcBorders>
              <w:bottom w:val="single" w:color="D9D9D9" w:sz="4" w:space="0"/>
            </w:tcBorders>
            <w:tcMar>
              <w:left w:w="60" w:type="dxa"/>
              <w:right w:w="60" w:type="dxa"/>
            </w:tcMar>
          </w:tcPr>
          <w:p>
            <w:pPr>
              <w:spacing w:before="20" w:after="20"/>
              <w:rPr>
                <w:sz w:val="17"/>
              </w:rPr>
            </w:pPr>
            <w:r>
              <w:rPr>
                <w:sz w:val="17"/>
              </w:rPr>
              <w:t xml:space="preserve">Consents and approvals: the RNO I ground lease needs </w:t>
            </w:r>
            <w:bookmarkStart w:id="197" w:name="citei-c756"/>
            <w:r>
              <w:rPr>
                <w:sz w:val="17"/>
              </w:rPr>
              <w:t>landlord consent on a change of control</w:t>
            </w:r>
            <w:bookmarkEnd w:id="197"/>
            <w:r>
              <w:rPr>
                <w:sz w:val="17"/>
              </w:rPr>
              <w:t>; HSR; CFIUS for foreign bidders.</w:t>
            </w:r>
          </w:p>
        </w:tc>
        <w:tc>
          <w:tcPr>
            <w:tcW w:w="4560" w:type="dxa"/>
            <w:tcBorders>
              <w:bottom w:val="single" w:color="D9D9D9" w:sz="4" w:space="0"/>
            </w:tcBorders>
            <w:tcMar>
              <w:left w:w="60" w:type="dxa"/>
              <w:right w:w="60" w:type="dxa"/>
            </w:tcMar>
          </w:tcPr>
          <w:p>
            <w:pPr>
              <w:spacing w:before="20" w:after="20"/>
              <w:rPr>
                <w:sz w:val="17"/>
              </w:rPr>
            </w:pPr>
            <w:r>
              <w:rPr>
                <w:sz w:val="17"/>
              </w:rPr>
              <w:t xml:space="preserve">Consent may not be unreasonably withheld; the CFIUS notice is </w:t>
            </w:r>
            <w:bookmarkStart w:id="198" w:name="citei-c757"/>
            <w:r>
              <w:rPr>
                <w:sz w:val="17"/>
              </w:rPr>
              <w:t>voluntary</w:t>
            </w:r>
            <w:bookmarkEnd w:id="198"/>
            <w:r>
              <w:rPr>
                <w:sz w:val="17"/>
              </w:rPr>
              <w:t xml:space="preserve"> and relevant only to foreign bidders.</w:t>
            </w:r>
          </w:p>
        </w:tc>
        <w:tc>
          <w:tcPr>
            <w:tcW w:w="1200" w:type="dxa"/>
            <w:tcBorders>
              <w:bottom w:val="single" w:color="D9D9D9" w:sz="4" w:space="0"/>
            </w:tcBorders>
            <w:shd w:val="clear" w:fill="D9EAD3"/>
            <w:tcMar>
              <w:left w:w="60" w:type="dxa"/>
              <w:right w:w="60" w:type="dxa"/>
            </w:tcMar>
          </w:tcPr>
          <w:p>
            <w:pPr>
              <w:spacing w:before="20" w:after="20"/>
              <w:rPr>
                <w:sz w:val="17"/>
              </w:rPr>
            </w:pPr>
            <w:r>
              <w:rPr>
                <w:sz w:val="17"/>
              </w:rPr>
              <w:t>Low</w:t>
            </w:r>
          </w:p>
        </w:tc>
      </w:tr>
    </w:tbl>
    <w:p>
      <w:pPr>
        <w:spacing w:after="40"/>
      </w:pPr>
      <w:r>
        <w:t/>
      </w:r>
    </w:p>
    <w:p>
      <w:pPr>
        <w:pStyle w:val="Heading1"/>
        <w:keepNext/>
        <w:spacing w:before="200" w:after="60"/>
      </w:pPr>
      <w:r>
        <w:t>7. Open items before signing</w:t>
      </w:r>
    </w:p>
    <w:tbl>
      <w:tblPr>
        <w:tblW w:w="9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
      <w:tblGrid>
        <w:gridCol w:w="1440"/>
        <w:gridCol w:w="1440"/>
        <w:gridCol w:w="1440"/>
      </w:tblGrid>
      <w:tr>
        <w:trPr>
          <w:tblHeader/>
        </w:trPr>
        <w:tc>
          <w:tcPr>
            <w:tcW w:w="400" w:type="dxa"/>
            <w:tcBorders>
              <w:bottom w:val="single" w:color="D9D9D9" w:sz="4" w:space="0"/>
            </w:tcBorders>
            <w:shd w:val="clear" w:fill="F2F0EC"/>
            <w:tcMar>
              <w:left w:w="60" w:type="dxa"/>
              <w:right w:w="60" w:type="dxa"/>
            </w:tcMar>
          </w:tcPr>
          <w:p>
            <w:pPr>
              <w:spacing w:before="20" w:after="20"/>
              <w:rPr>
                <w:b/>
                <w:sz w:val="17"/>
              </w:rPr>
            </w:pPr>
            <w:r>
              <w:rPr>
                <w:b/>
                <w:sz w:val="17"/>
              </w:rPr>
              <w:t>#</w:t>
            </w:r>
          </w:p>
        </w:tc>
        <w:tc>
          <w:tcPr>
            <w:tcW w:w="5360" w:type="dxa"/>
            <w:tcBorders>
              <w:bottom w:val="single" w:color="D9D9D9" w:sz="4" w:space="0"/>
            </w:tcBorders>
            <w:shd w:val="clear" w:fill="F2F0EC"/>
            <w:tcMar>
              <w:left w:w="60" w:type="dxa"/>
              <w:right w:w="60" w:type="dxa"/>
            </w:tcMar>
          </w:tcPr>
          <w:p>
            <w:pPr>
              <w:spacing w:before="20" w:after="20"/>
              <w:rPr>
                <w:b/>
                <w:sz w:val="17"/>
              </w:rPr>
            </w:pPr>
            <w:r>
              <w:rPr>
                <w:b/>
                <w:sz w:val="17"/>
              </w:rPr>
              <w:t>Item</w:t>
            </w:r>
          </w:p>
        </w:tc>
        <w:tc>
          <w:tcPr>
            <w:tcW w:w="4080" w:type="dxa"/>
            <w:tcBorders>
              <w:bottom w:val="single" w:color="D9D9D9" w:sz="4" w:space="0"/>
            </w:tcBorders>
            <w:shd w:val="clear" w:fill="F2F0EC"/>
            <w:tcMar>
              <w:left w:w="60" w:type="dxa"/>
              <w:right w:w="60" w:type="dxa"/>
            </w:tcMar>
          </w:tcPr>
          <w:p>
            <w:pPr>
              <w:spacing w:before="20" w:after="20"/>
              <w:rPr>
                <w:b/>
                <w:sz w:val="17"/>
              </w:rPr>
            </w:pPr>
            <w:r>
              <w:rPr>
                <w:b/>
                <w:sz w:val="17"/>
              </w:rPr>
              <w:t>Why it matters</w:t>
            </w:r>
          </w:p>
        </w:tc>
      </w:tr>
      <w:tr>
        <w:tc>
          <w:tcPr>
            <w:tcW w:w="400" w:type="dxa"/>
            <w:tcBorders>
              <w:bottom w:val="single" w:color="D9D9D9" w:sz="4" w:space="0"/>
            </w:tcBorders>
            <w:tcMar>
              <w:left w:w="60" w:type="dxa"/>
              <w:right w:w="60" w:type="dxa"/>
            </w:tcMar>
          </w:tcPr>
          <w:p>
            <w:pPr>
              <w:spacing w:before="20" w:after="20"/>
              <w:rPr>
                <w:sz w:val="17"/>
              </w:rPr>
            </w:pPr>
            <w:r>
              <w:rPr>
                <w:sz w:val="17"/>
              </w:rPr>
              <w:t>1</w:t>
            </w:r>
          </w:p>
        </w:tc>
        <w:tc>
          <w:tcPr>
            <w:tcW w:w="5360" w:type="dxa"/>
            <w:tcBorders>
              <w:bottom w:val="single" w:color="D9D9D9" w:sz="4" w:space="0"/>
            </w:tcBorders>
            <w:tcMar>
              <w:left w:w="60" w:type="dxa"/>
              <w:right w:w="60" w:type="dxa"/>
            </w:tcMar>
          </w:tcPr>
          <w:p>
            <w:pPr>
              <w:spacing w:before="20" w:after="20"/>
              <w:rPr>
                <w:sz w:val="17"/>
              </w:rPr>
            </w:pPr>
            <w:r>
              <w:rPr>
                <w:sz w:val="17"/>
              </w:rPr>
              <w:t>Every executed amendment and phase supplement for the three wholesale leases, reconciled to the rent roll expiries †</w:t>
            </w:r>
          </w:p>
        </w:tc>
        <w:tc>
          <w:tcPr>
            <w:tcW w:w="4080" w:type="dxa"/>
            <w:tcBorders>
              <w:bottom w:val="single" w:color="D9D9D9" w:sz="4" w:space="0"/>
            </w:tcBorders>
            <w:tcMar>
              <w:left w:w="60" w:type="dxa"/>
              <w:right w:w="60" w:type="dxa"/>
            </w:tcMar>
          </w:tcPr>
          <w:p>
            <w:pPr>
              <w:spacing w:before="20" w:after="20"/>
              <w:rPr>
                <w:sz w:val="17"/>
              </w:rPr>
            </w:pPr>
            <w:r>
              <w:rPr>
                <w:sz w:val="17"/>
              </w:rPr>
              <w:t xml:space="preserve">Up to </w:t>
            </w:r>
            <w:bookmarkStart w:id="199" w:name="citei-c758"/>
            <w:r>
              <w:rPr>
                <w:sz w:val="17"/>
              </w:rPr>
              <w:t>about $233M</w:t>
            </w:r>
            <w:bookmarkEnd w:id="199"/>
            <w:r>
              <w:rPr>
                <w:sz w:val="17"/>
              </w:rPr>
              <w:t xml:space="preserve"> of value; </w:t>
            </w:r>
            <w:bookmarkStart w:id="200" w:name="citei-c759"/>
            <w:r>
              <w:rPr>
                <w:sz w:val="17"/>
              </w:rPr>
              <w:t>executed agreements control</w:t>
            </w:r>
            <w:bookmarkEnd w:id="200"/>
            <w:r>
              <w:rPr>
                <w:sz w:val="17"/>
              </w:rPr>
              <w:t xml:space="preserve"> over the rent roll</w:t>
            </w:r>
          </w:p>
        </w:tc>
      </w:tr>
      <w:tr>
        <w:tc>
          <w:tcPr>
            <w:tcW w:w="400" w:type="dxa"/>
            <w:tcBorders>
              <w:bottom w:val="single" w:color="D9D9D9" w:sz="4" w:space="0"/>
            </w:tcBorders>
            <w:tcMar>
              <w:left w:w="60" w:type="dxa"/>
              <w:right w:w="60" w:type="dxa"/>
            </w:tcMar>
          </w:tcPr>
          <w:p>
            <w:pPr>
              <w:spacing w:before="20" w:after="20"/>
              <w:rPr>
                <w:sz w:val="17"/>
              </w:rPr>
            </w:pPr>
            <w:r>
              <w:rPr>
                <w:sz w:val="17"/>
              </w:rPr>
              <w:t>2</w:t>
            </w:r>
          </w:p>
        </w:tc>
        <w:tc>
          <w:tcPr>
            <w:tcW w:w="5360" w:type="dxa"/>
            <w:tcBorders>
              <w:bottom w:val="single" w:color="D9D9D9" w:sz="4" w:space="0"/>
            </w:tcBorders>
            <w:tcMar>
              <w:left w:w="60" w:type="dxa"/>
              <w:right w:w="60" w:type="dxa"/>
            </w:tcMar>
          </w:tcPr>
          <w:p>
            <w:pPr>
              <w:spacing w:before="20" w:after="20"/>
              <w:rPr>
                <w:sz w:val="17"/>
              </w:rPr>
            </w:pPr>
            <w:r>
              <w:rPr>
                <w:sz w:val="17"/>
              </w:rPr>
              <w:t>Outside counsel clearance of the lease-derived figures in this memo, and a General Counsel determination for the three-lease wholesale category</w:t>
            </w:r>
          </w:p>
        </w:tc>
        <w:tc>
          <w:tcPr>
            <w:tcW w:w="4080" w:type="dxa"/>
            <w:tcBorders>
              <w:bottom w:val="single" w:color="D9D9D9" w:sz="4" w:space="0"/>
            </w:tcBorders>
            <w:tcMar>
              <w:left w:w="60" w:type="dxa"/>
              <w:right w:w="60" w:type="dxa"/>
            </w:tcMar>
          </w:tcPr>
          <w:p>
            <w:pPr>
              <w:spacing w:before="20" w:after="20"/>
              <w:rPr>
                <w:sz w:val="17"/>
              </w:rPr>
            </w:pPr>
            <w:r>
              <w:rPr>
                <w:sz w:val="17"/>
              </w:rPr>
              <w:t xml:space="preserve">Clean team rules require a </w:t>
            </w:r>
            <w:bookmarkStart w:id="201" w:name="citei-c760"/>
            <w:r>
              <w:rPr>
                <w:sz w:val="17"/>
              </w:rPr>
              <w:t>logged clearance</w:t>
            </w:r>
            <w:bookmarkEnd w:id="201"/>
            <w:r>
              <w:rPr>
                <w:sz w:val="17"/>
              </w:rPr>
              <w:t xml:space="preserve"> before release to the Committee</w:t>
            </w:r>
          </w:p>
        </w:tc>
      </w:tr>
      <w:tr>
        <w:tc>
          <w:tcPr>
            <w:tcW w:w="400" w:type="dxa"/>
            <w:tcBorders>
              <w:bottom w:val="single" w:color="D9D9D9" w:sz="4" w:space="0"/>
            </w:tcBorders>
            <w:tcMar>
              <w:left w:w="60" w:type="dxa"/>
              <w:right w:w="60" w:type="dxa"/>
            </w:tcMar>
          </w:tcPr>
          <w:p>
            <w:pPr>
              <w:spacing w:before="20" w:after="20"/>
              <w:rPr>
                <w:sz w:val="17"/>
              </w:rPr>
            </w:pPr>
            <w:r>
              <w:rPr>
                <w:sz w:val="17"/>
              </w:rPr>
              <w:t>3</w:t>
            </w:r>
          </w:p>
        </w:tc>
        <w:tc>
          <w:tcPr>
            <w:tcW w:w="5360" w:type="dxa"/>
            <w:tcBorders>
              <w:bottom w:val="single" w:color="D9D9D9" w:sz="4" w:space="0"/>
            </w:tcBorders>
            <w:tcMar>
              <w:left w:w="60" w:type="dxa"/>
              <w:right w:w="60" w:type="dxa"/>
            </w:tcMar>
          </w:tcPr>
          <w:p>
            <w:pPr>
              <w:spacing w:before="20" w:after="20"/>
              <w:rPr>
                <w:sz w:val="17"/>
              </w:rPr>
            </w:pPr>
            <w:r>
              <w:rPr>
                <w:sz w:val="17"/>
              </w:rPr>
              <w:t>Actual seller spend on PHX II and ATL II from 31-Mar-26 to closing, the PHX II estimate at completion and the lien settlement</w:t>
            </w:r>
          </w:p>
        </w:tc>
        <w:tc>
          <w:tcPr>
            <w:tcW w:w="4080" w:type="dxa"/>
            <w:tcBorders>
              <w:bottom w:val="single" w:color="D9D9D9" w:sz="4" w:space="0"/>
            </w:tcBorders>
            <w:tcMar>
              <w:left w:w="60" w:type="dxa"/>
              <w:right w:w="60" w:type="dxa"/>
            </w:tcMar>
          </w:tcPr>
          <w:p>
            <w:pPr>
              <w:spacing w:before="20" w:after="20"/>
              <w:rPr>
                <w:sz w:val="17"/>
              </w:rPr>
            </w:pPr>
            <w:r>
              <w:rPr>
                <w:sz w:val="17"/>
              </w:rPr>
              <w:t xml:space="preserve">Sets the price credit ($366M on plan) and the </w:t>
            </w:r>
            <w:bookmarkStart w:id="202" w:name="citei-c761"/>
            <w:r>
              <w:rPr>
                <w:sz w:val="17"/>
              </w:rPr>
              <w:t>$131.6M</w:t>
            </w:r>
            <w:bookmarkEnd w:id="202"/>
            <w:r>
              <w:rPr>
                <w:sz w:val="17"/>
              </w:rPr>
              <w:t xml:space="preserve"> we fund</w:t>
            </w:r>
          </w:p>
        </w:tc>
      </w:tr>
      <w:tr>
        <w:tc>
          <w:tcPr>
            <w:tcW w:w="400" w:type="dxa"/>
            <w:tcBorders>
              <w:bottom w:val="single" w:color="D9D9D9" w:sz="4" w:space="0"/>
            </w:tcBorders>
            <w:tcMar>
              <w:left w:w="60" w:type="dxa"/>
              <w:right w:w="60" w:type="dxa"/>
            </w:tcMar>
          </w:tcPr>
          <w:p>
            <w:pPr>
              <w:spacing w:before="20" w:after="20"/>
              <w:rPr>
                <w:sz w:val="17"/>
              </w:rPr>
            </w:pPr>
            <w:r>
              <w:rPr>
                <w:sz w:val="17"/>
              </w:rPr>
              <w:t>4</w:t>
            </w:r>
          </w:p>
        </w:tc>
        <w:tc>
          <w:tcPr>
            <w:tcW w:w="5360" w:type="dxa"/>
            <w:tcBorders>
              <w:bottom w:val="single" w:color="D9D9D9" w:sz="4" w:space="0"/>
            </w:tcBorders>
            <w:tcMar>
              <w:left w:w="60" w:type="dxa"/>
              <w:right w:w="60" w:type="dxa"/>
            </w:tcMar>
          </w:tcPr>
          <w:p>
            <w:pPr>
              <w:spacing w:before="20" w:after="20"/>
              <w:rPr>
                <w:sz w:val="17"/>
              </w:rPr>
            </w:pPr>
            <w:r>
              <w:rPr>
                <w:sz w:val="17"/>
              </w:rPr>
              <w:t xml:space="preserve">Count the PHX II lien and overdrawn contingency once: they sit both in the </w:t>
            </w:r>
            <w:bookmarkStart w:id="204" w:name="citei-c763"/>
            <w:r>
              <w:rPr>
                <w:sz w:val="17"/>
              </w:rPr>
              <w:t>$17.6M</w:t>
            </w:r>
            <w:bookmarkEnd w:id="204"/>
            <w:r>
              <w:rPr>
                <w:sz w:val="17"/>
              </w:rPr>
              <w:t xml:space="preserve"> EV deduction and in the </w:t>
            </w:r>
            <w:bookmarkStart w:id="203" w:name="citei-c762"/>
            <w:r>
              <w:rPr>
                <w:sz w:val="17"/>
              </w:rPr>
              <w:t>$1,584.0M</w:t>
            </w:r>
            <w:bookmarkEnd w:id="203"/>
            <w:r>
              <w:rPr>
                <w:sz w:val="17"/>
              </w:rPr>
              <w:t xml:space="preserve"> debt-like items</w:t>
            </w:r>
          </w:p>
        </w:tc>
        <w:tc>
          <w:tcPr>
            <w:tcW w:w="4080" w:type="dxa"/>
            <w:tcBorders>
              <w:bottom w:val="single" w:color="D9D9D9" w:sz="4" w:space="0"/>
            </w:tcBorders>
            <w:tcMar>
              <w:left w:w="60" w:type="dxa"/>
              <w:right w:w="60" w:type="dxa"/>
            </w:tcMar>
          </w:tcPr>
          <w:p>
            <w:pPr>
              <w:spacing w:before="20" w:after="20"/>
              <w:rPr>
                <w:sz w:val="17"/>
              </w:rPr>
            </w:pPr>
            <w:bookmarkStart w:id="205" w:name="citei-c764"/>
            <w:r>
              <w:rPr>
                <w:sz w:val="17"/>
              </w:rPr>
              <w:t>$5.2M</w:t>
            </w:r>
            <w:bookmarkEnd w:id="205"/>
            <w:r>
              <w:rPr>
                <w:sz w:val="17"/>
              </w:rPr>
              <w:t xml:space="preserve"> of double count in the price</w:t>
            </w:r>
          </w:p>
        </w:tc>
      </w:tr>
      <w:tr>
        <w:tc>
          <w:tcPr>
            <w:tcW w:w="400" w:type="dxa"/>
            <w:tcBorders>
              <w:bottom w:val="single" w:color="D9D9D9" w:sz="4" w:space="0"/>
            </w:tcBorders>
            <w:tcMar>
              <w:left w:w="60" w:type="dxa"/>
              <w:right w:w="60" w:type="dxa"/>
            </w:tcMar>
          </w:tcPr>
          <w:p>
            <w:pPr>
              <w:spacing w:before="20" w:after="20"/>
              <w:rPr>
                <w:sz w:val="17"/>
              </w:rPr>
            </w:pPr>
            <w:r>
              <w:rPr>
                <w:sz w:val="17"/>
              </w:rPr>
              <w:t>5</w:t>
            </w:r>
          </w:p>
        </w:tc>
        <w:tc>
          <w:tcPr>
            <w:tcW w:w="5360" w:type="dxa"/>
            <w:tcBorders>
              <w:bottom w:val="single" w:color="D9D9D9" w:sz="4" w:space="0"/>
            </w:tcBorders>
            <w:tcMar>
              <w:left w:w="60" w:type="dxa"/>
              <w:right w:w="60" w:type="dxa"/>
            </w:tcMar>
          </w:tcPr>
          <w:p>
            <w:pPr>
              <w:spacing w:before="20" w:after="20"/>
              <w:rPr>
                <w:sz w:val="17"/>
              </w:rPr>
            </w:pPr>
            <w:r>
              <w:rPr>
                <w:sz w:val="17"/>
              </w:rPr>
              <w:t xml:space="preserve">Lender sign-off on a term loan of </w:t>
            </w:r>
            <w:bookmarkStart w:id="206" w:name="citei-c765"/>
            <w:r>
              <w:rPr>
                <w:sz w:val="17"/>
              </w:rPr>
              <w:t>$1,241.4M</w:t>
            </w:r>
            <w:bookmarkEnd w:id="206"/>
            <w:r>
              <w:rPr>
                <w:sz w:val="17"/>
              </w:rPr>
              <w:t xml:space="preserve"> (6.0x $206.9M), with flex terms, committed at signing</w:t>
            </w:r>
          </w:p>
        </w:tc>
        <w:tc>
          <w:tcPr>
            <w:tcW w:w="4080" w:type="dxa"/>
            <w:tcBorders>
              <w:bottom w:val="single" w:color="D9D9D9" w:sz="4" w:space="0"/>
            </w:tcBorders>
            <w:tcMar>
              <w:left w:w="60" w:type="dxa"/>
              <w:right w:w="60" w:type="dxa"/>
            </w:tcMar>
          </w:tcPr>
          <w:p>
            <w:pPr>
              <w:spacing w:before="20" w:after="20"/>
              <w:rPr>
                <w:sz w:val="17"/>
              </w:rPr>
            </w:pPr>
            <w:r>
              <w:rPr>
                <w:sz w:val="17"/>
              </w:rPr>
              <w:t xml:space="preserve">Final bids must be </w:t>
            </w:r>
            <w:bookmarkStart w:id="207" w:name="citei-c766"/>
            <w:r>
              <w:rPr>
                <w:sz w:val="17"/>
              </w:rPr>
              <w:t>fully financed</w:t>
            </w:r>
            <w:bookmarkEnd w:id="207"/>
          </w:p>
        </w:tc>
      </w:tr>
      <w:tr>
        <w:tc>
          <w:tcPr>
            <w:tcW w:w="400" w:type="dxa"/>
            <w:tcBorders>
              <w:bottom w:val="single" w:color="D9D9D9" w:sz="4" w:space="0"/>
            </w:tcBorders>
            <w:tcMar>
              <w:left w:w="60" w:type="dxa"/>
              <w:right w:w="60" w:type="dxa"/>
            </w:tcMar>
          </w:tcPr>
          <w:p>
            <w:pPr>
              <w:spacing w:before="20" w:after="20"/>
              <w:rPr>
                <w:sz w:val="17"/>
              </w:rPr>
            </w:pPr>
            <w:r>
              <w:rPr>
                <w:sz w:val="17"/>
              </w:rPr>
              <w:t>6</w:t>
            </w:r>
          </w:p>
        </w:tc>
        <w:tc>
          <w:tcPr>
            <w:tcW w:w="5360" w:type="dxa"/>
            <w:tcBorders>
              <w:bottom w:val="single" w:color="D9D9D9" w:sz="4" w:space="0"/>
            </w:tcBorders>
            <w:tcMar>
              <w:left w:w="60" w:type="dxa"/>
              <w:right w:w="60" w:type="dxa"/>
            </w:tcMar>
          </w:tcPr>
          <w:p>
            <w:pPr>
              <w:spacing w:before="20" w:after="20"/>
              <w:rPr>
                <w:sz w:val="17"/>
              </w:rPr>
            </w:pPr>
            <w:r>
              <w:rPr>
                <w:sz w:val="17"/>
              </w:rPr>
              <w:t>FY25 utility invoices and tenant power billing reconciled to the P&amp;L</w:t>
            </w:r>
          </w:p>
        </w:tc>
        <w:tc>
          <w:tcPr>
            <w:tcW w:w="4080" w:type="dxa"/>
            <w:tcBorders>
              <w:bottom w:val="single" w:color="D9D9D9" w:sz="4" w:space="0"/>
            </w:tcBorders>
            <w:tcMar>
              <w:left w:w="60" w:type="dxa"/>
              <w:right w:w="60" w:type="dxa"/>
            </w:tcMar>
          </w:tcPr>
          <w:p>
            <w:pPr>
              <w:spacing w:before="20" w:after="20"/>
              <w:rPr>
                <w:sz w:val="17"/>
              </w:rPr>
            </w:pPr>
            <w:r>
              <w:rPr>
                <w:sz w:val="17"/>
              </w:rPr>
              <w:t xml:space="preserve">Settles the </w:t>
            </w:r>
            <w:bookmarkStart w:id="208" w:name="citei-c767"/>
            <w:r>
              <w:rPr>
                <w:sz w:val="17"/>
              </w:rPr>
              <w:t>$8.2M</w:t>
            </w:r>
            <w:bookmarkEnd w:id="208"/>
            <w:r>
              <w:rPr>
                <w:sz w:val="17"/>
              </w:rPr>
              <w:t xml:space="preserve"> a year of unrecovered power</w:t>
            </w:r>
          </w:p>
        </w:tc>
      </w:tr>
      <w:tr>
        <w:tc>
          <w:tcPr>
            <w:tcW w:w="400" w:type="dxa"/>
            <w:tcBorders>
              <w:bottom w:val="single" w:color="D9D9D9" w:sz="4" w:space="0"/>
            </w:tcBorders>
            <w:tcMar>
              <w:left w:w="60" w:type="dxa"/>
              <w:right w:w="60" w:type="dxa"/>
            </w:tcMar>
          </w:tcPr>
          <w:p>
            <w:pPr>
              <w:spacing w:before="20" w:after="20"/>
              <w:rPr>
                <w:sz w:val="17"/>
              </w:rPr>
            </w:pPr>
            <w:r>
              <w:rPr>
                <w:sz w:val="17"/>
              </w:rPr>
              <w:t>7</w:t>
            </w:r>
          </w:p>
        </w:tc>
        <w:tc>
          <w:tcPr>
            <w:tcW w:w="5360" w:type="dxa"/>
            <w:tcBorders>
              <w:bottom w:val="single" w:color="D9D9D9" w:sz="4" w:space="0"/>
            </w:tcBorders>
            <w:tcMar>
              <w:left w:w="60" w:type="dxa"/>
              <w:right w:w="60" w:type="dxa"/>
            </w:tcMar>
          </w:tcPr>
          <w:p>
            <w:pPr>
              <w:spacing w:before="20" w:after="20"/>
              <w:rPr>
                <w:sz w:val="17"/>
              </w:rPr>
            </w:pPr>
            <w:r>
              <w:rPr>
                <w:sz w:val="17"/>
              </w:rPr>
              <w:t xml:space="preserve">Indebtedness definition in the purchase agreement on the $1,584.0M buy-side basis, plus </w:t>
            </w:r>
            <w:bookmarkStart w:id="209" w:name="citei-c768"/>
            <w:r>
              <w:rPr>
                <w:sz w:val="17"/>
              </w:rPr>
              <w:t>swap breakage</w:t>
            </w:r>
            <w:bookmarkEnd w:id="209"/>
            <w:r>
              <w:rPr>
                <w:sz w:val="17"/>
              </w:rPr>
              <w:t xml:space="preserve">; NWC peg of </w:t>
            </w:r>
            <w:bookmarkStart w:id="210" w:name="citei-c769"/>
            <w:r>
              <w:rPr>
                <w:sz w:val="17"/>
              </w:rPr>
              <w:t>$(11.8)M</w:t>
            </w:r>
            <w:bookmarkEnd w:id="210"/>
          </w:p>
        </w:tc>
        <w:tc>
          <w:tcPr>
            <w:tcW w:w="4080" w:type="dxa"/>
            <w:tcBorders>
              <w:bottom w:val="single" w:color="D9D9D9" w:sz="4" w:space="0"/>
            </w:tcBorders>
            <w:tcMar>
              <w:left w:w="60" w:type="dxa"/>
              <w:right w:w="60" w:type="dxa"/>
            </w:tcMar>
          </w:tcPr>
          <w:p>
            <w:pPr>
              <w:spacing w:before="20" w:after="20"/>
              <w:rPr>
                <w:sz w:val="17"/>
              </w:rPr>
            </w:pPr>
            <w:r>
              <w:rPr>
                <w:sz w:val="17"/>
              </w:rPr>
              <w:t>Dollar for dollar on equity price</w:t>
            </w:r>
          </w:p>
        </w:tc>
      </w:tr>
      <w:tr>
        <w:tc>
          <w:tcPr>
            <w:tcW w:w="400" w:type="dxa"/>
            <w:tcBorders>
              <w:bottom w:val="single" w:color="D9D9D9" w:sz="4" w:space="0"/>
            </w:tcBorders>
            <w:tcMar>
              <w:left w:w="60" w:type="dxa"/>
              <w:right w:w="60" w:type="dxa"/>
            </w:tcMar>
          </w:tcPr>
          <w:p>
            <w:pPr>
              <w:spacing w:before="20" w:after="20"/>
              <w:rPr>
                <w:sz w:val="17"/>
              </w:rPr>
            </w:pPr>
            <w:r>
              <w:rPr>
                <w:sz w:val="17"/>
              </w:rPr>
              <w:t>8</w:t>
            </w:r>
          </w:p>
        </w:tc>
        <w:tc>
          <w:tcPr>
            <w:tcW w:w="5360" w:type="dxa"/>
            <w:tcBorders>
              <w:bottom w:val="single" w:color="D9D9D9" w:sz="4" w:space="0"/>
            </w:tcBorders>
            <w:tcMar>
              <w:left w:w="60" w:type="dxa"/>
              <w:right w:w="60" w:type="dxa"/>
            </w:tcMar>
          </w:tcPr>
          <w:p>
            <w:pPr>
              <w:spacing w:before="20" w:after="20"/>
              <w:rPr>
                <w:sz w:val="17"/>
              </w:rPr>
            </w:pPr>
            <w:r>
              <w:rPr>
                <w:sz w:val="17"/>
              </w:rPr>
              <w:t xml:space="preserve">RNO I ground lease consent record: the abstract cites a </w:t>
            </w:r>
            <w:bookmarkStart w:id="211" w:name="citei-c770"/>
            <w:r>
              <w:rPr>
                <w:sz w:val="17"/>
              </w:rPr>
              <w:t>2019 consent</w:t>
            </w:r>
            <w:bookmarkEnd w:id="211"/>
            <w:r>
              <w:rPr>
                <w:sz w:val="17"/>
              </w:rPr>
              <w:t xml:space="preserve">, but the lease is dated </w:t>
            </w:r>
            <w:bookmarkStart w:id="212" w:name="citei-c771"/>
            <w:r>
              <w:rPr>
                <w:sz w:val="17"/>
              </w:rPr>
              <w:t>2021-06-01</w:t>
            </w:r>
            <w:bookmarkEnd w:id="212"/>
          </w:p>
        </w:tc>
        <w:tc>
          <w:tcPr>
            <w:tcW w:w="4080" w:type="dxa"/>
            <w:tcBorders>
              <w:bottom w:val="single" w:color="D9D9D9" w:sz="4" w:space="0"/>
            </w:tcBorders>
            <w:tcMar>
              <w:left w:w="60" w:type="dxa"/>
              <w:right w:w="60" w:type="dxa"/>
            </w:tcMar>
          </w:tcPr>
          <w:p>
            <w:pPr>
              <w:spacing w:before="20" w:after="20"/>
              <w:rPr>
                <w:sz w:val="17"/>
              </w:rPr>
            </w:pPr>
            <w:r>
              <w:rPr>
                <w:sz w:val="17"/>
              </w:rPr>
              <w:t>The precedent cannot relate to this lease; plan a 45 to 90 day window</w:t>
            </w:r>
          </w:p>
        </w:tc>
      </w:tr>
      <w:tr>
        <w:tc>
          <w:tcPr>
            <w:tcW w:w="400" w:type="dxa"/>
            <w:tcBorders>
              <w:bottom w:val="single" w:color="D9D9D9" w:sz="4" w:space="0"/>
            </w:tcBorders>
            <w:tcMar>
              <w:left w:w="60" w:type="dxa"/>
              <w:right w:w="60" w:type="dxa"/>
            </w:tcMar>
          </w:tcPr>
          <w:p>
            <w:pPr>
              <w:spacing w:before="20" w:after="20"/>
              <w:rPr>
                <w:sz w:val="17"/>
              </w:rPr>
            </w:pPr>
            <w:r>
              <w:rPr>
                <w:sz w:val="17"/>
              </w:rPr>
              <w:t>9</w:t>
            </w:r>
          </w:p>
        </w:tc>
        <w:tc>
          <w:tcPr>
            <w:tcW w:w="5360" w:type="dxa"/>
            <w:tcBorders>
              <w:bottom w:val="single" w:color="D9D9D9" w:sz="4" w:space="0"/>
            </w:tcBorders>
            <w:tcMar>
              <w:left w:w="60" w:type="dxa"/>
              <w:right w:w="60" w:type="dxa"/>
            </w:tcMar>
          </w:tcPr>
          <w:p>
            <w:pPr>
              <w:spacing w:before="20" w:after="20"/>
              <w:rPr>
                <w:sz w:val="17"/>
              </w:rPr>
            </w:pPr>
            <w:r>
              <w:rPr>
                <w:sz w:val="17"/>
              </w:rPr>
              <w:t xml:space="preserve">Rebuilt long-range plan at market cost per MW and </w:t>
            </w:r>
            <w:bookmarkStart w:id="213" w:name="citei-c772"/>
            <w:r>
              <w:rPr>
                <w:sz w:val="17"/>
              </w:rPr>
              <w:t>CPS Energy ESA</w:t>
            </w:r>
            <w:bookmarkEnd w:id="213"/>
            <w:r>
              <w:rPr>
                <w:sz w:val="17"/>
              </w:rPr>
              <w:t xml:space="preserve"> status; </w:t>
            </w:r>
            <w:bookmarkStart w:id="214" w:name="citei-c773"/>
            <w:r>
              <w:rPr>
                <w:sz w:val="17"/>
              </w:rPr>
              <w:t>Nevada transfer tax</w:t>
            </w:r>
            <w:bookmarkEnd w:id="214"/>
            <w:r>
              <w:rPr>
                <w:sz w:val="17"/>
              </w:rPr>
              <w:t xml:space="preserve"> on the RNO I leasehold</w:t>
            </w:r>
          </w:p>
        </w:tc>
        <w:tc>
          <w:tcPr>
            <w:tcW w:w="4080" w:type="dxa"/>
            <w:tcBorders>
              <w:bottom w:val="single" w:color="D9D9D9" w:sz="4" w:space="0"/>
            </w:tcBorders>
            <w:tcMar>
              <w:left w:w="60" w:type="dxa"/>
              <w:right w:w="60" w:type="dxa"/>
            </w:tcMar>
          </w:tcPr>
          <w:p>
            <w:pPr>
              <w:spacing w:before="20" w:after="20"/>
              <w:rPr>
                <w:sz w:val="17"/>
              </w:rPr>
            </w:pPr>
            <w:r>
              <w:rPr>
                <w:sz w:val="17"/>
              </w:rPr>
              <w:t>Needed before any plan upside enters the price; tax to confirm</w:t>
            </w:r>
          </w:p>
        </w:tc>
      </w:tr>
    </w:tbl>
    <w:p>
      <w:pPr>
        <w:spacing w:after="40"/>
      </w:pPr>
      <w:r>
        <w:t/>
      </w:r>
    </w:p>
    <w:p>
      <w:pPr>
        <w:pStyle w:val="Normal"/>
        <w:spacing w:before="0" w:after="80"/>
      </w:pPr>
      <w:r>
        <w:t xml:space="preserve">Timing: final bids, confirmatory diligence and signing are set for the </w:t>
      </w:r>
      <w:bookmarkStart w:id="215" w:name="citei-c774"/>
      <w:r>
        <w:t>second half of 2026</w:t>
      </w:r>
      <w:bookmarkEnd w:id="215"/>
      <w:r>
        <w:t>, with the date in the Phase II letter; we assume closing on 31-Dec-26 after HSR clearance and the RNO I consent.</w:t>
      </w:r>
    </w:p>
    <w:p>
      <w:pPr>
        <w:pStyle w:val="Normal"/>
        <w:spacing w:before="0" w:after="100"/>
        <w:rPr>
          <w:i/>
          <w:color w:val="7F7F7F"/>
          <w:sz w:val="16"/>
        </w:rPr>
      </w:pPr>
      <w:r>
        <w:rPr>
          <w:i/>
          <w:color w:val="7F7F7F"/>
          <w:sz w:val="16"/>
        </w:rPr>
        <w:t>Illustrative: Ironvale Digital Infrastructure is a fictional company (PE Bench). Sources are Project Voltaic data room documents by number and page as cited; computed figures come from the returns case and CIM tie-out workbooks.</w:t>
      </w:r>
    </w:p>
    <w:sectPr>
      <w:footerReference w:type="default" r:id="rId2"/>
      <w:pgSz w:w="12240" w:h="15840"/>
      <w:pgMar w:top="1080" w:right="1200" w:bottom="1080" w:left="1200" w:header="720" w:footer="720" w:gutter="0"/>
    </w:sectPr>
  </w:body>
</w:document>
</file>

<file path=word/footer1.xml><?xml version="1.0" encoding="utf-8"?>
<w:ftr xmlns:w="http://schemas.openxmlformats.org/wordprocessingml/2006/main">
  <w:p/>
  <w:p>
    <w:pPr>
      <w:rPr>
        <w:color w:val="7F7F7F"/>
        <w:sz w:val="16"/>
      </w:rPr>
    </w:pPr>
    <w:r>
      <w:rPr>
        <w:color w:val="7F7F7F"/>
        <w:sz w:val="16"/>
      </w:rPr>
      <w:t xml:space="preserve">Illustrative: Ironvale Digital Infrastructure is a fictional company (PE Bench). Project Voltaic IC memorandum. Strictly confidential. Page </w:t>
    </w:r>
    <w:fldSimple w:instr="PAGE">
      <w:r>
        <w:rPr>
          <w:color w:val="7F7F7F"/>
          <w:sz w:val="16"/>
        </w:rPr>
        <w:t>1</w:t>
      </w:r>
    </w:fldSimple>
  </w:p>
</w:ftr>
</file>

<file path=word/styles.xml><?xml version="1.0" encoding="utf-8"?>
<w:styles xmlns:w="http://schemas.openxmlformats.org/wordprocessingml/2006/main">
  <w:style w:type="paragraph" w:styleId="Normal" w:default="1">
    <w:name w:val="Normal"/>
    <w:rPr>
      <w:rFonts w:ascii="Calibri" w:hAnsi="Calibri"/>
      <w:color w:val="1A1A1A"/>
      <w:sz w:val="20"/>
    </w:rPr>
  </w:style>
  <w:style w:type="paragraph" w:styleId="Heading1">
    <w:name w:val="heading 1"/>
    <w:basedOn w:val="Normal"/>
    <w:pPr>
      <w:spacing w:before="240" w:after="0"/>
    </w:pPr>
    <w:rPr>
      <w:rFonts w:ascii="Calibri" w:hAnsi="Calibri"/>
      <w:b/>
      <w:color w:val="002060"/>
      <w:sz w:val="26"/>
    </w:rPr>
  </w:style>
  <w:style w:type="paragraph" w:styleId="Heading2">
    <w:name w:val="heading 2"/>
    <w:basedOn w:val="Normal"/>
    <w:pPr>
      <w:spacing w:before="40" w:after="0"/>
    </w:pPr>
    <w:rPr>
      <w:rFonts w:ascii="Calibri" w:hAnsi="Calibri"/>
      <w:b/>
      <w:color w:val="002060"/>
      <w:sz w:val="22"/>
    </w:rPr>
  </w:style>
  <w:style w:type="paragraph" w:styleId="Heading3">
    <w:name w:val="heading 3"/>
    <w:basedOn w:val="Normal"/>
    <w:pPr>
      <w:spacing w:before="40" w:after="0"/>
    </w:pPr>
    <w:rPr>
      <w:rFonts w:ascii="Calibri Light" w:hAnsi="Calibri Light"/>
      <w:color w:val="2E74B5"/>
      <w:sz w:val="24"/>
    </w:rPr>
  </w:style>
  <w:style w:type="paragraph" w:styleId="Heading4">
    <w:name w:val="heading 4"/>
    <w:basedOn w:val="Normal"/>
    <w:pPr>
      <w:spacing w:before="40" w:after="0"/>
    </w:pPr>
    <w:rPr>
      <w:rFonts w:ascii="Calibri Light" w:hAnsi="Calibri Light"/>
      <w:i/>
      <w:color w:val="2E74B5"/>
      <w:sz w:val="22"/>
    </w:rPr>
  </w:style>
  <w:style w:type="paragraph" w:styleId="Heading5">
    <w:name w:val="heading 5"/>
    <w:basedOn w:val="Normal"/>
    <w:pPr>
      <w:spacing w:before="40" w:after="0"/>
    </w:pPr>
    <w:rPr>
      <w:rFonts w:ascii="Calibri Light" w:hAnsi="Calibri Light"/>
      <w:color w:val="2E74B5"/>
      <w:sz w:val="22"/>
    </w:rPr>
  </w:style>
  <w:style w:type="paragraph" w:styleId="Heading6">
    <w:name w:val="heading 6"/>
    <w:basedOn w:val="Normal"/>
    <w:pPr>
      <w:spacing w:before="40" w:after="0"/>
    </w:pPr>
    <w:rPr>
      <w:rFonts w:ascii="Calibri Light" w:hAnsi="Calibri Light"/>
      <w:i/>
      <w:color w:val="2E74B5"/>
      <w:sz w:val="22"/>
    </w:rPr>
  </w:style>
  <w:style w:type="paragraph" w:styleId="Title">
    <w:name w:val="Title"/>
    <w:basedOn w:val="Normal"/>
    <w:pPr>
      <w:spacing w:after="80"/>
    </w:pPr>
    <w:rPr>
      <w:rFonts w:ascii="Calibri Light" w:hAnsi="Calibri Light"/>
      <w:color w:val="2E74B5"/>
      <w:sz w:val="56"/>
    </w:rPr>
  </w:style>
  <w:style w:type="paragraph" w:styleId="Subtitle">
    <w:name w:val="Subtitle"/>
    <w:basedOn w:val="Normal"/>
    <w:rPr>
      <w:rFonts w:ascii="Calibri Light" w:hAnsi="Calibri Light"/>
      <w:color w:val="5A5A5A"/>
      <w:sz w:val="28"/>
    </w:rPr>
  </w:style>
  <w:style w:type="paragraph" w:styleId="Quote">
    <w:name w:val="Quote"/>
    <w:basedOn w:val="Normal"/>
    <w:pPr>
      <w:ind w:left="720" w:right="720"/>
    </w:pPr>
    <w:rPr>
      <w:i/>
      <w:color w:val="404040"/>
      <w:sz w:val="22"/>
    </w:rPr>
  </w:style>
  <w:style w:type="paragraph" w:styleId="Caption">
    <w:name w:val="caption"/>
    <w:basedOn w:val="Normal"/>
    <w:rPr>
      <w:i/>
      <w:color w:val="44546A"/>
      <w:sz w:val="18"/>
    </w:rPr>
  </w:style>
  <w:style w:type="paragraph" w:styleId="ListParagraph">
    <w:name w:val="List Paragraph"/>
    <w:basedOn w:val="Normal"/>
    <w:pPr>
      <w:ind w:left="720"/>
    </w:pPr>
  </w:style>
  <w:style w:type="character" w:styleId="Strong">
    <w:name w:val="Strong"/>
    <w:rPr>
      <w:b/>
    </w:rPr>
  </w:style>
  <w:style w:type="character" w:styleId="Emphasis">
    <w:name w:val="Emphasis"/>
    <w:rPr>
      <w:i/>
    </w:rPr>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Voltaic: Investment Committee Memorandum</dc:title>
  <dc:creator>Buy-side deal team</dc:creator>
  <dc:subject>Illustrative case study (PE Bench)</dc:subject>
</cp:coreProperties>
</file>