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p14="http://schemas.microsoft.com/office/word/2010/wordprocessingDrawing" xmlns:wne="http://schemas.microsoft.com/office/word/2006/wordml" mc:Ignorable="w14 wp14">
  <w:body>
    <w:p>
      <w:pPr>
        <w:pStyle w:val="Normal"/>
        <w:keepNext/>
        <w:spacing w:before="0" w:after="20" w:line="240"/>
        <w:rPr>
          <w:rFonts w:ascii="Calibri" w:hAnsi="Calibri"/>
          <w:b/>
          <w:i w:val="0"/>
          <w:color w:val="002060"/>
          <w:sz w:val="34"/>
        </w:rPr>
      </w:pPr>
      <w:r>
        <w:rPr>
          <w:rFonts w:ascii="Calibri" w:hAnsi="Calibri"/>
          <w:b/>
          <w:i w:val="0"/>
          <w:color w:val="002060"/>
          <w:sz w:val="34"/>
        </w:rPr>
        <w:t>Ironvale Digital Infrastructure: Q1 FY26 portfolio company update</w:t>
      </w:r>
    </w:p>
    <w:p>
      <w:pPr>
        <w:pStyle w:val="Normal"/>
        <w:spacing w:before="0" w:after="20" w:line="240"/>
        <w:rPr>
          <w:rFonts w:ascii="Calibri" w:hAnsi="Calibri"/>
          <w:b w:val="0"/>
          <w:i w:val="0"/>
          <w:color w:val="7F7F7F"/>
          <w:sz w:val="19"/>
        </w:rPr>
      </w:pPr>
      <w:r>
        <w:rPr>
          <w:rFonts w:ascii="Calibri" w:hAnsi="Calibri"/>
          <w:b w:val="0"/>
          <w:i w:val="0"/>
          <w:color w:val="7F7F7F"/>
          <w:sz w:val="19"/>
        </w:rPr>
        <w:t xml:space="preserve">Halcyon Infrastructure Partners Fund IV, L.P.  |  Quarter ended 31 March 2026  |  Investor Relations</w:t>
      </w:r>
    </w:p>
    <w:p>
      <w:pPr>
        <w:pStyle w:val="Normal"/>
        <w:spacing w:before="0" w:after="120" w:line="240"/>
        <w:rPr>
          <w:rFonts w:ascii="Calibri" w:hAnsi="Calibri"/>
          <w:b/>
          <w:i/>
          <w:color w:val="C0392B"/>
          <w:sz w:val="19"/>
        </w:rPr>
      </w:pPr>
      <w:r>
        <w:rPr>
          <w:rFonts w:ascii="Calibri" w:hAnsi="Calibri"/>
          <w:b/>
          <w:i/>
          <w:color w:val="C0392B"/>
          <w:sz w:val="19"/>
        </w:rPr>
        <w:t>Illustrative: Ironvale Digital Infrastructure is a fictional company (PE Bench)</w:t>
      </w:r>
    </w:p>
    <w:p>
      <w:pPr>
        <w:pStyle w:val="Normal"/>
        <w:spacing w:before="0" w:after="8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>Dear Limited Partners,</w:t>
      </w:r>
    </w:p>
    <w:p>
      <w:pPr>
        <w:pStyle w:val="Normal"/>
        <w:spacing w:before="0" w:after="8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 xml:space="preserve">Ironvale, in which Fund IV holds a </w:t>
      </w:r>
      <w:bookmarkStart w:id="0" w:name="citei-c1"/>
      <w:r>
        <w:rPr>
          <w:rFonts w:ascii="Calibri" w:hAnsi="Calibri"/>
          <w:b w:val="0"/>
          <w:i w:val="0"/>
          <w:color w:val="1A1A1A"/>
          <w:sz w:val="20"/>
        </w:rPr>
        <w:t>62.0% fully diluted interest</w:t>
      </w:r>
      <w:bookmarkEnd w:id="0"/>
      <w:r>
        <w:rPr>
          <w:rFonts w:ascii="Calibri" w:hAnsi="Calibri"/>
          <w:b w:val="0"/>
          <w:i w:val="0"/>
          <w:color w:val="1A1A1A"/>
          <w:sz w:val="20"/>
        </w:rPr>
        <w:t xml:space="preserve">, had a solid first quarter. </w:t>
      </w:r>
      <w:bookmarkStart w:id="1" w:name="citei-c2"/>
      <w:r>
        <w:rPr>
          <w:rFonts w:ascii="Calibri" w:hAnsi="Calibri"/>
          <w:b w:val="0"/>
          <w:i w:val="0"/>
          <w:color w:val="1A1A1A"/>
          <w:sz w:val="20"/>
        </w:rPr>
        <w:t>Revenue of $113.0M</w:t>
      </w:r>
      <w:bookmarkEnd w:id="1"/>
      <w:r>
        <w:rPr>
          <w:rFonts w:ascii="Calibri" w:hAnsi="Calibri"/>
          <w:b w:val="0"/>
          <w:i w:val="0"/>
          <w:color w:val="1A1A1A"/>
          <w:sz w:val="20"/>
        </w:rPr>
        <w:t xml:space="preserve"> was </w:t>
      </w:r>
      <w:bookmarkStart w:id="2" w:name="citei-c3"/>
      <w:r>
        <w:rPr>
          <w:rFonts w:ascii="Calibri" w:hAnsi="Calibri"/>
          <w:b w:val="0"/>
          <w:i w:val="0"/>
          <w:color w:val="1A1A1A"/>
          <w:sz w:val="20"/>
        </w:rPr>
        <w:t>1.3% ahead of budget and 20.0% above Q1 FY25</w:t>
      </w:r>
      <w:bookmarkEnd w:id="2"/>
      <w:r>
        <w:rPr>
          <w:rFonts w:ascii="Calibri" w:hAnsi="Calibri"/>
          <w:b w:val="0"/>
          <w:i w:val="0"/>
          <w:color w:val="1A1A1A"/>
          <w:sz w:val="20"/>
        </w:rPr>
        <w:t xml:space="preserve">, </w:t>
      </w:r>
      <w:bookmarkStart w:id="3" w:name="citei-c4"/>
      <w:r>
        <w:rPr>
          <w:rFonts w:ascii="Calibri" w:hAnsi="Calibri"/>
          <w:b w:val="0"/>
          <w:i w:val="0"/>
          <w:color w:val="1A1A1A"/>
          <w:sz w:val="20"/>
        </w:rPr>
        <w:t>adjusted EBITDA of $62.0M beat budget by $0.8M</w:t>
      </w:r>
      <w:bookmarkEnd w:id="3"/>
      <w:r>
        <w:rPr>
          <w:rFonts w:ascii="Calibri" w:hAnsi="Calibri"/>
          <w:b w:val="0"/>
          <w:i w:val="0"/>
          <w:color w:val="1A1A1A"/>
          <w:sz w:val="20"/>
        </w:rPr>
        <w:t xml:space="preserve">, and </w:t>
      </w:r>
      <w:bookmarkStart w:id="4" w:name="citei-c5"/>
      <w:r>
        <w:rPr>
          <w:rFonts w:ascii="Calibri" w:hAnsi="Calibri"/>
          <w:b w:val="0"/>
          <w:i w:val="0"/>
          <w:color w:val="1A1A1A"/>
          <w:sz w:val="20"/>
        </w:rPr>
        <w:t>occupancy reached 91.9%</w:t>
      </w:r>
      <w:bookmarkEnd w:id="4"/>
      <w:r>
        <w:rPr>
          <w:rFonts w:ascii="Calibri" w:hAnsi="Calibri"/>
          <w:b w:val="0"/>
          <w:i w:val="0"/>
          <w:color w:val="1A1A1A"/>
          <w:sz w:val="20"/>
        </w:rPr>
        <w:t xml:space="preserve">. In May 2026 the company </w:t>
      </w:r>
      <w:bookmarkStart w:id="5" w:name="citei-c6"/>
      <w:r>
        <w:rPr>
          <w:rFonts w:ascii="Calibri" w:hAnsi="Calibri"/>
          <w:b w:val="0"/>
          <w:i w:val="0"/>
          <w:color w:val="1A1A1A"/>
          <w:sz w:val="20"/>
        </w:rPr>
        <w:t>launched a sale process for 100% of its equity</w:t>
      </w:r>
      <w:bookmarkEnd w:id="5"/>
      <w:r>
        <w:rPr>
          <w:rFonts w:ascii="Calibri" w:hAnsi="Calibri"/>
          <w:b w:val="0"/>
          <w:i w:val="0"/>
          <w:color w:val="1A1A1A"/>
          <w:sz w:val="20"/>
        </w:rPr>
        <w:t xml:space="preserve">. On an illustrative basis of appraised campuses plus development at cost, less net debt, Fund IV's interest is worth </w:t>
      </w:r>
      <w:bookmarkStart w:id="6" w:name="citei-c7"/>
      <w:r>
        <w:rPr>
          <w:rFonts w:ascii="Calibri" w:hAnsi="Calibri"/>
          <w:b w:val="0"/>
          <w:i w:val="0"/>
          <w:color w:val="1A1A1A"/>
          <w:sz w:val="20"/>
        </w:rPr>
        <w:t>about $1,967M, 4.6x its invested capital</w:t>
      </w:r>
      <w:bookmarkEnd w:id="6"/>
      <w:r>
        <w:rPr>
          <w:rFonts w:ascii="Calibri" w:hAnsi="Calibri"/>
          <w:b w:val="0"/>
          <w:i w:val="0"/>
          <w:color w:val="1A1A1A"/>
          <w:sz w:val="20"/>
        </w:rPr>
        <w:t>.</w:t>
      </w:r>
    </w:p>
    <w:p>
      <w:pPr>
        <w:pStyle w:val="Normal"/>
        <w:keepNext/>
        <w:spacing w:before="40" w:after="40" w:line="240"/>
        <w:rPr>
          <w:rFonts w:ascii="Calibri" w:hAnsi="Calibri"/>
          <w:b/>
          <w:i w:val="0"/>
          <w:color w:val="002060"/>
          <w:sz w:val="19"/>
        </w:rPr>
      </w:pPr>
      <w:r>
        <w:rPr>
          <w:rFonts w:ascii="Calibri" w:hAnsi="Calibri"/>
          <w:b/>
          <w:i w:val="0"/>
          <w:color w:val="002060"/>
          <w:sz w:val="19"/>
        </w:rPr>
        <w:t>Q1 FY26 key metrics (US$ millions unless stated)</w:t>
      </w:r>
    </w:p>
    <w:tbl>
      <w:tblPr>
        <w:tblW w:w="100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>
      <w:tblGrid>
        <w:gridCol w:w="2520"/>
        <w:gridCol w:w="920"/>
        <w:gridCol w:w="920"/>
        <w:gridCol w:w="920"/>
        <w:gridCol w:w="920"/>
        <w:gridCol w:w="3880"/>
      </w:tblGrid>
      <w:tr>
        <w:tc>
          <w:tcPr>
            <w:tcW w:w="252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Metric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Q1 FY26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Budget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Q4 FY25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Q1 FY25</w:t>
            </w:r>
          </w:p>
        </w:tc>
        <w:tc>
          <w:tcPr>
            <w:tcW w:w="388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Source (document, page or cell)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Total revenue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7" w:name="citei-c8"/>
            <w:r>
              <w:rPr>
                <w:rFonts w:ascii="Calibri" w:hAnsi="Calibri"/>
                <w:b w:val="0"/>
                <w:color w:val="1A1A1A"/>
                <w:sz w:val="18"/>
              </w:rPr>
              <w:t>113.0</w:t>
            </w:r>
            <w:bookmarkEnd w:id="7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8" w:name="citei-c9"/>
            <w:r>
              <w:rPr>
                <w:rFonts w:ascii="Calibri" w:hAnsi="Calibri"/>
                <w:b w:val="0"/>
                <w:color w:val="1A1A1A"/>
                <w:sz w:val="18"/>
              </w:rPr>
              <w:t>111.5</w:t>
            </w:r>
            <w:bookmarkEnd w:id="8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9" w:name="citei-c10"/>
            <w:r>
              <w:rPr>
                <w:rFonts w:ascii="Calibri" w:hAnsi="Calibri"/>
                <w:b w:val="0"/>
                <w:color w:val="1A1A1A"/>
                <w:sz w:val="18"/>
              </w:rPr>
              <w:t>104.4</w:t>
            </w:r>
            <w:bookmarkEnd w:id="9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10" w:name="citei-c11"/>
            <w:r>
              <w:rPr>
                <w:rFonts w:ascii="Calibri" w:hAnsi="Calibri"/>
                <w:b w:val="0"/>
                <w:color w:val="1A1A1A"/>
                <w:sz w:val="18"/>
              </w:rPr>
              <w:t>94.2</w:t>
            </w:r>
            <w:bookmarkEnd w:id="10"/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Flash report (2.07) r10; mgmt accts (2.05)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Net operating income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11" w:name="citei-c12"/>
            <w:r>
              <w:rPr>
                <w:rFonts w:ascii="Calibri" w:hAnsi="Calibri"/>
                <w:b w:val="0"/>
                <w:color w:val="1A1A1A"/>
                <w:sz w:val="18"/>
              </w:rPr>
              <w:t>67.5</w:t>
            </w:r>
            <w:bookmarkEnd w:id="11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12" w:name="citei-c13"/>
            <w:r>
              <w:rPr>
                <w:rFonts w:ascii="Calibri" w:hAnsi="Calibri"/>
                <w:b w:val="0"/>
                <w:color w:val="1A1A1A"/>
                <w:sz w:val="18"/>
              </w:rPr>
              <w:t>66.8</w:t>
            </w:r>
            <w:bookmarkEnd w:id="12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13" w:name="citei-c14"/>
            <w:r>
              <w:rPr>
                <w:rFonts w:ascii="Calibri" w:hAnsi="Calibri"/>
                <w:b w:val="0"/>
                <w:color w:val="1A1A1A"/>
                <w:sz w:val="18"/>
              </w:rPr>
              <w:t>64.2</w:t>
            </w:r>
            <w:bookmarkEnd w:id="13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14" w:name="citei-c15"/>
            <w:r>
              <w:rPr>
                <w:rFonts w:ascii="Calibri" w:hAnsi="Calibri"/>
                <w:b w:val="0"/>
                <w:color w:val="1A1A1A"/>
                <w:sz w:val="18"/>
              </w:rPr>
              <w:t>56.5</w:t>
            </w:r>
            <w:bookmarkEnd w:id="14"/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Flash report (2.07) r14; mgmt accts (2.05)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/>
                <w:color w:val="1A1A1A"/>
                <w:sz w:val="18"/>
              </w:rPr>
            </w:pPr>
            <w:r>
              <w:rPr>
                <w:rFonts w:ascii="Calibri" w:hAnsi="Calibri"/>
                <w:b/>
                <w:color w:val="1A1A1A"/>
                <w:sz w:val="18"/>
              </w:rPr>
              <w:t>Adjusted EBITDA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bookmarkStart w:id="15" w:name="citei-c16"/>
            <w:r>
              <w:rPr>
                <w:rFonts w:ascii="Calibri" w:hAnsi="Calibri"/>
                <w:b/>
                <w:color w:val="1A1A1A"/>
                <w:sz w:val="18"/>
              </w:rPr>
              <w:t>62.0</w:t>
            </w:r>
            <w:bookmarkEnd w:id="15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bookmarkStart w:id="16" w:name="citei-c17"/>
            <w:r>
              <w:rPr>
                <w:rFonts w:ascii="Calibri" w:hAnsi="Calibri"/>
                <w:b/>
                <w:color w:val="1A1A1A"/>
                <w:sz w:val="18"/>
              </w:rPr>
              <w:t>61.2</w:t>
            </w:r>
            <w:bookmarkEnd w:id="16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bookmarkStart w:id="17" w:name="citei-c18"/>
            <w:r>
              <w:rPr>
                <w:rFonts w:ascii="Calibri" w:hAnsi="Calibri"/>
                <w:b/>
                <w:color w:val="1A1A1A"/>
                <w:sz w:val="18"/>
              </w:rPr>
              <w:t>57.7</w:t>
            </w:r>
            <w:bookmarkEnd w:id="17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color w:val="1A1A1A"/>
                <w:sz w:val="18"/>
              </w:rPr>
            </w:pPr>
            <w:bookmarkStart w:id="18" w:name="citei-c19"/>
            <w:r>
              <w:rPr>
                <w:rFonts w:ascii="Calibri" w:hAnsi="Calibri"/>
                <w:b/>
                <w:color w:val="1A1A1A"/>
                <w:sz w:val="18"/>
              </w:rPr>
              <w:t>50.4</w:t>
            </w:r>
            <w:bookmarkEnd w:id="18"/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Flash report (2.07) r17; mgmt accts (2.05)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Adjusted EBITDA margin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19" w:name="citei-c20"/>
            <w:r>
              <w:rPr>
                <w:rFonts w:ascii="Calibri" w:hAnsi="Calibri"/>
                <w:b w:val="0"/>
                <w:color w:val="1A1A1A"/>
                <w:sz w:val="18"/>
              </w:rPr>
              <w:t>54.9%</w:t>
            </w:r>
            <w:bookmarkEnd w:id="19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54.9%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0" w:name="citei-c21"/>
            <w:r>
              <w:rPr>
                <w:rFonts w:ascii="Calibri" w:hAnsi="Calibri"/>
                <w:b w:val="0"/>
                <w:color w:val="1A1A1A"/>
                <w:sz w:val="18"/>
              </w:rPr>
              <w:t>55.2%</w:t>
            </w:r>
            <w:bookmarkEnd w:id="20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53.5%</w:t>
            </w:r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Computed from the rows above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Leased MW (period end)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1" w:name="citei-c22"/>
            <w:r>
              <w:rPr>
                <w:rFonts w:ascii="Calibri" w:hAnsi="Calibri"/>
                <w:b w:val="0"/>
                <w:color w:val="1A1A1A"/>
                <w:sz w:val="18"/>
              </w:rPr>
              <w:t>202.2</w:t>
            </w:r>
            <w:bookmarkEnd w:id="21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2" w:name="citei-c23"/>
            <w:r>
              <w:rPr>
                <w:rFonts w:ascii="Calibri" w:hAnsi="Calibri"/>
                <w:b w:val="0"/>
                <w:color w:val="1A1A1A"/>
                <w:sz w:val="18"/>
              </w:rPr>
              <w:t>201.0</w:t>
            </w:r>
            <w:bookmarkEnd w:id="22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3" w:name="citei-c24"/>
            <w:r>
              <w:rPr>
                <w:rFonts w:ascii="Calibri" w:hAnsi="Calibri"/>
                <w:b w:val="0"/>
                <w:color w:val="1A1A1A"/>
                <w:sz w:val="18"/>
              </w:rPr>
              <w:t>200.7</w:t>
            </w:r>
            <w:bookmarkEnd w:id="23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4" w:name="citei-c25"/>
            <w:r>
              <w:rPr>
                <w:rFonts w:ascii="Calibri" w:hAnsi="Calibri"/>
                <w:b w:val="0"/>
                <w:color w:val="1A1A1A"/>
                <w:sz w:val="18"/>
              </w:rPr>
              <w:t>188.6</w:t>
            </w:r>
            <w:bookmarkEnd w:id="24"/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Flash (2.07) r21; KPI dashboard (3.06) r4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Occupancy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5" w:name="citei-c26"/>
            <w:r>
              <w:rPr>
                <w:rFonts w:ascii="Calibri" w:hAnsi="Calibri"/>
                <w:b w:val="0"/>
                <w:color w:val="1A1A1A"/>
                <w:sz w:val="18"/>
              </w:rPr>
              <w:t>91.9%</w:t>
            </w:r>
            <w:bookmarkEnd w:id="25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91.4%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6" w:name="citei-c27"/>
            <w:r>
              <w:rPr>
                <w:rFonts w:ascii="Calibri" w:hAnsi="Calibri"/>
                <w:b w:val="0"/>
                <w:color w:val="1A1A1A"/>
                <w:sz w:val="18"/>
              </w:rPr>
              <w:t>91.2%</w:t>
            </w:r>
            <w:bookmarkEnd w:id="26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88.1%</w:t>
            </w:r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Leased / commissioned MW (220; 214 Q1 FY25)</w:t>
            </w:r>
          </w:p>
        </w:tc>
      </w:tr>
      <w:tr>
        <w:tc>
          <w:tcPr>
            <w:tcW w:w="25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Net debt / LTM adj. EBITDA (mgmt definition)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7" w:name="citei-c28"/>
            <w:r>
              <w:rPr>
                <w:rFonts w:ascii="Calibri" w:hAnsi="Calibri"/>
                <w:b w:val="0"/>
                <w:color w:val="1A1A1A"/>
                <w:sz w:val="18"/>
              </w:rPr>
              <w:t>6.6x</w:t>
            </w:r>
            <w:bookmarkEnd w:id="27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n/a</w:t>
            </w:r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bookmarkStart w:id="28" w:name="citei-c29"/>
            <w:r>
              <w:rPr>
                <w:rFonts w:ascii="Calibri" w:hAnsi="Calibri"/>
                <w:b w:val="0"/>
                <w:color w:val="1A1A1A"/>
                <w:sz w:val="18"/>
              </w:rPr>
              <w:t>6.6x</w:t>
            </w:r>
            <w:bookmarkEnd w:id="28"/>
          </w:p>
        </w:tc>
        <w:tc>
          <w:tcPr>
            <w:tcW w:w="92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color w:val="1A1A1A"/>
                <w:sz w:val="18"/>
              </w:rPr>
              <w:t>n/a</w:t>
            </w:r>
          </w:p>
        </w:tc>
        <w:tc>
          <w:tcPr>
            <w:tcW w:w="388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color w:val="7F7F7F"/>
                <w:sz w:val="18"/>
              </w:rPr>
            </w:pPr>
            <w:r>
              <w:rPr>
                <w:rFonts w:ascii="Calibri" w:hAnsi="Calibri"/>
                <w:b w:val="0"/>
                <w:color w:val="7F7F7F"/>
                <w:sz w:val="18"/>
              </w:rPr>
              <w:t>Net debt at period end; Q1 statements (2.09), 2.03 p12</w:t>
            </w:r>
          </w:p>
        </w:tc>
      </w:tr>
    </w:tbl>
    <w:p>
      <w:pPr>
        <w:pStyle w:val="Normal"/>
        <w:keepNext/>
        <w:spacing w:before="120" w:after="40" w:line="240"/>
        <w:rPr>
          <w:rFonts w:ascii="Calibri" w:hAnsi="Calibri"/>
          <w:b/>
          <w:i w:val="0"/>
          <w:color w:val="002060"/>
          <w:sz w:val="23"/>
        </w:rPr>
      </w:pPr>
      <w:r>
        <w:rPr>
          <w:rFonts w:ascii="Calibri" w:hAnsi="Calibri"/>
          <w:b/>
          <w:i w:val="0"/>
          <w:color w:val="002060"/>
          <w:sz w:val="23"/>
        </w:rPr>
        <w:t>Performance ran ahead of plan on earlier colocation starts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 xml:space="preserve">Revenue beat budget by $1.5M on </w:t>
      </w:r>
      <w:bookmarkStart w:id="29" w:name="citei-c30"/>
      <w:r>
        <w:rPr>
          <w:rFonts w:ascii="Calibri" w:hAnsi="Calibri"/>
          <w:b w:val="0"/>
          <w:i w:val="0"/>
          <w:color w:val="1A1A1A"/>
          <w:sz w:val="20"/>
        </w:rPr>
        <w:t>earlier-than-planned colocation commencements at PHX I</w:t>
      </w:r>
      <w:bookmarkEnd w:id="29"/>
      <w:r>
        <w:rPr>
          <w:rFonts w:ascii="Calibri" w:hAnsi="Calibri"/>
          <w:b w:val="0"/>
          <w:i w:val="0"/>
          <w:color w:val="1A1A1A"/>
          <w:sz w:val="20"/>
        </w:rPr>
        <w:t xml:space="preserve"> and higher metered power reimbursements, which are passed through at cost. </w:t>
      </w:r>
      <w:bookmarkStart w:id="30" w:name="citei-c31"/>
      <w:r>
        <w:rPr>
          <w:rFonts w:ascii="Calibri" w:hAnsi="Calibri"/>
          <w:b w:val="0"/>
          <w:i w:val="0"/>
          <w:color w:val="1A1A1A"/>
          <w:sz w:val="20"/>
        </w:rPr>
        <w:t>Revenue rose 8.2% on Q4 FY25</w:t>
      </w:r>
      <w:bookmarkEnd w:id="30"/>
      <w:r>
        <w:rPr>
          <w:rFonts w:ascii="Calibri" w:hAnsi="Calibri"/>
          <w:b w:val="0"/>
          <w:i w:val="0"/>
          <w:color w:val="1A1A1A"/>
          <w:sz w:val="20"/>
        </w:rPr>
        <w:t xml:space="preserve"> and lease and colocation revenue grew to </w:t>
      </w:r>
      <w:bookmarkStart w:id="31" w:name="citei-c32"/>
      <w:r>
        <w:rPr>
          <w:rFonts w:ascii="Calibri" w:hAnsi="Calibri"/>
          <w:b w:val="0"/>
          <w:i w:val="0"/>
          <w:color w:val="1A1A1A"/>
          <w:sz w:val="20"/>
        </w:rPr>
        <w:t>$82.9M from $72.5M</w:t>
      </w:r>
      <w:bookmarkEnd w:id="31"/>
      <w:r>
        <w:rPr>
          <w:rFonts w:ascii="Calibri" w:hAnsi="Calibri"/>
          <w:b w:val="0"/>
          <w:i w:val="0"/>
          <w:color w:val="1A1A1A"/>
          <w:sz w:val="20"/>
        </w:rPr>
        <w:t xml:space="preserve"> a year earlier. </w:t>
      </w:r>
      <w:bookmarkStart w:id="32" w:name="citei-c33"/>
      <w:r>
        <w:rPr>
          <w:rFonts w:ascii="Calibri" w:hAnsi="Calibri"/>
          <w:b w:val="0"/>
          <w:i w:val="0"/>
          <w:color w:val="1A1A1A"/>
          <w:sz w:val="20"/>
        </w:rPr>
        <w:t>NOI of $67.5M</w:t>
      </w:r>
      <w:bookmarkEnd w:id="32"/>
      <w:r>
        <w:rPr>
          <w:rFonts w:ascii="Calibri" w:hAnsi="Calibri"/>
          <w:b w:val="0"/>
          <w:i w:val="0"/>
          <w:color w:val="1A1A1A"/>
          <w:sz w:val="20"/>
        </w:rPr>
        <w:t xml:space="preserve"> was a 59.7% margin. Adjusted EBITDA excludes </w:t>
      </w:r>
      <w:bookmarkStart w:id="33" w:name="citei-c34"/>
      <w:r>
        <w:rPr>
          <w:rFonts w:ascii="Calibri" w:hAnsi="Calibri"/>
          <w:b w:val="0"/>
          <w:i w:val="0"/>
          <w:color w:val="1A1A1A"/>
          <w:sz w:val="20"/>
        </w:rPr>
        <w:t>$1.7M of non-recurring sale-preparation costs</w:t>
      </w:r>
      <w:bookmarkEnd w:id="33"/>
      <w:r>
        <w:rPr>
          <w:rFonts w:ascii="Calibri" w:hAnsi="Calibri"/>
          <w:b w:val="0"/>
          <w:i w:val="0"/>
          <w:color w:val="1A1A1A"/>
          <w:sz w:val="20"/>
        </w:rPr>
        <w:t xml:space="preserve">. </w:t>
      </w:r>
      <w:bookmarkStart w:id="34" w:name="citei-c35"/>
      <w:r>
        <w:rPr>
          <w:rFonts w:ascii="Calibri" w:hAnsi="Calibri"/>
          <w:b w:val="0"/>
          <w:i w:val="0"/>
          <w:color w:val="1A1A1A"/>
          <w:sz w:val="20"/>
        </w:rPr>
        <w:t>Net income was $0.4M</w:t>
      </w:r>
      <w:bookmarkEnd w:id="34"/>
      <w:r>
        <w:rPr>
          <w:rFonts w:ascii="Calibri" w:hAnsi="Calibri"/>
          <w:b w:val="0"/>
          <w:i w:val="0"/>
          <w:color w:val="1A1A1A"/>
          <w:sz w:val="20"/>
        </w:rPr>
        <w:t xml:space="preserve">, against a </w:t>
      </w:r>
      <w:bookmarkStart w:id="35" w:name="citei-c36"/>
      <w:r>
        <w:rPr>
          <w:rFonts w:ascii="Calibri" w:hAnsi="Calibri"/>
          <w:b w:val="0"/>
          <w:i w:val="0"/>
          <w:color w:val="1A1A1A"/>
          <w:sz w:val="20"/>
        </w:rPr>
        <w:t>net loss of $2.1M</w:t>
      </w:r>
      <w:bookmarkEnd w:id="35"/>
      <w:r>
        <w:rPr>
          <w:rFonts w:ascii="Calibri" w:hAnsi="Calibri"/>
          <w:b w:val="0"/>
          <w:i w:val="0"/>
          <w:color w:val="1A1A1A"/>
          <w:sz w:val="20"/>
        </w:rPr>
        <w:t xml:space="preserve"> for FY25 as a whole.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 xml:space="preserve">Operations held up. Fleet </w:t>
      </w:r>
      <w:bookmarkStart w:id="36" w:name="citei-c37"/>
      <w:r>
        <w:rPr>
          <w:rFonts w:ascii="Calibri" w:hAnsi="Calibri"/>
          <w:b w:val="0"/>
          <w:i w:val="0"/>
          <w:color w:val="1A1A1A"/>
          <w:sz w:val="20"/>
        </w:rPr>
        <w:t>PUE was 1.29x</w:t>
      </w:r>
      <w:bookmarkEnd w:id="36"/>
      <w:r>
        <w:rPr>
          <w:rFonts w:ascii="Calibri" w:hAnsi="Calibri"/>
          <w:b w:val="0"/>
          <w:i w:val="0"/>
          <w:color w:val="1A1A1A"/>
          <w:sz w:val="20"/>
        </w:rPr>
        <w:t xml:space="preserve">, </w:t>
      </w:r>
      <w:bookmarkStart w:id="37" w:name="citei-c38"/>
      <w:r>
        <w:rPr>
          <w:rFonts w:ascii="Calibri" w:hAnsi="Calibri"/>
          <w:b w:val="0"/>
          <w:i w:val="0"/>
          <w:color w:val="1A1A1A"/>
          <w:sz w:val="20"/>
        </w:rPr>
        <w:t>uptime 99.9996%</w:t>
      </w:r>
      <w:bookmarkEnd w:id="37"/>
      <w:r>
        <w:rPr>
          <w:rFonts w:ascii="Calibri" w:hAnsi="Calibri"/>
          <w:b w:val="0"/>
          <w:i w:val="0"/>
          <w:color w:val="1A1A1A"/>
          <w:sz w:val="20"/>
        </w:rPr>
        <w:t xml:space="preserve">, </w:t>
      </w:r>
      <w:bookmarkStart w:id="38" w:name="citei-c39"/>
      <w:r>
        <w:rPr>
          <w:rFonts w:ascii="Calibri" w:hAnsi="Calibri"/>
          <w:b w:val="0"/>
          <w:i w:val="0"/>
          <w:color w:val="1A1A1A"/>
          <w:sz w:val="20"/>
        </w:rPr>
        <w:t>LTM retention 91.3%</w:t>
      </w:r>
      <w:bookmarkEnd w:id="38"/>
      <w:r>
        <w:rPr>
          <w:rFonts w:ascii="Calibri" w:hAnsi="Calibri"/>
          <w:b w:val="0"/>
          <w:i w:val="0"/>
          <w:color w:val="1A1A1A"/>
          <w:sz w:val="20"/>
        </w:rPr>
        <w:t xml:space="preserve"> (MW-weighted) and </w:t>
      </w:r>
      <w:bookmarkStart w:id="39" w:name="citei-c40"/>
      <w:r>
        <w:rPr>
          <w:rFonts w:ascii="Calibri" w:hAnsi="Calibri"/>
          <w:b w:val="0"/>
          <w:i w:val="0"/>
          <w:color w:val="1A1A1A"/>
          <w:sz w:val="20"/>
        </w:rPr>
        <w:t>DSO 19 days</w:t>
      </w:r>
      <w:bookmarkEnd w:id="39"/>
      <w:r>
        <w:rPr>
          <w:rFonts w:ascii="Calibri" w:hAnsi="Calibri"/>
          <w:b w:val="0"/>
          <w:i w:val="0"/>
          <w:color w:val="1A1A1A"/>
          <w:sz w:val="20"/>
        </w:rPr>
        <w:t xml:space="preserve">. The blended in-place rate held at </w:t>
      </w:r>
      <w:bookmarkStart w:id="40" w:name="citei-c41"/>
      <w:r>
        <w:rPr>
          <w:rFonts w:ascii="Calibri" w:hAnsi="Calibri"/>
          <w:b w:val="0"/>
          <w:i w:val="0"/>
          <w:color w:val="1A1A1A"/>
          <w:sz w:val="20"/>
        </w:rPr>
        <w:t>$126/kW/mo</w:t>
      </w:r>
      <w:bookmarkEnd w:id="40"/>
      <w:r>
        <w:rPr>
          <w:rFonts w:ascii="Calibri" w:hAnsi="Calibri"/>
          <w:b w:val="0"/>
          <w:i w:val="0"/>
          <w:color w:val="1A1A1A"/>
          <w:sz w:val="20"/>
        </w:rPr>
        <w:t xml:space="preserve"> after </w:t>
      </w:r>
      <w:bookmarkStart w:id="41" w:name="citei-c42"/>
      <w:r>
        <w:rPr>
          <w:rFonts w:ascii="Calibri" w:hAnsi="Calibri"/>
          <w:b w:val="0"/>
          <w:i w:val="0"/>
          <w:color w:val="1A1A1A"/>
          <w:sz w:val="20"/>
        </w:rPr>
        <w:t>2.5–3.0% escalators</w:t>
      </w:r>
      <w:bookmarkEnd w:id="41"/>
      <w:r>
        <w:rPr>
          <w:rFonts w:ascii="Calibri" w:hAnsi="Calibri"/>
          <w:b w:val="0"/>
          <w:i w:val="0"/>
          <w:color w:val="1A1A1A"/>
          <w:sz w:val="20"/>
        </w:rPr>
        <w:t xml:space="preserve"> were applied across the book.</w:t>
      </w:r>
    </w:p>
    <w:p>
      <w:pPr>
        <w:pStyle w:val="Normal"/>
        <w:keepNext/>
        <w:spacing w:before="120" w:after="40" w:line="240"/>
        <w:rPr>
          <w:rFonts w:ascii="Calibri" w:hAnsi="Calibri"/>
          <w:b/>
          <w:i w:val="0"/>
          <w:color w:val="002060"/>
          <w:sz w:val="23"/>
        </w:rPr>
      </w:pPr>
      <w:r>
        <w:rPr>
          <w:rFonts w:ascii="Calibri" w:hAnsi="Calibri"/>
          <w:b/>
          <w:i w:val="0"/>
          <w:color w:val="002060"/>
          <w:sz w:val="23"/>
        </w:rPr>
        <w:t>Key developments: sale process launched, PHX II on schedule but its contingency is spent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Sale process.</w:t>
      </w:r>
      <w:r>
        <w:rPr>
          <w:rFonts w:ascii="Calibri" w:hAnsi="Calibri"/>
          <w:b w:val="0"/>
          <w:i w:val="0"/>
          <w:color w:val="1A1A1A"/>
          <w:sz w:val="20"/>
        </w:rPr>
        <w:t xml:space="preserve"> </w:t>
      </w:r>
      <w:bookmarkStart w:id="109" w:name="citei-c110"/>
      <w:r>
        <w:rPr>
          <w:rFonts w:ascii="Calibri" w:hAnsi="Calibri"/>
          <w:b w:val="0"/>
          <w:i w:val="0"/>
          <w:color w:val="1A1A1A"/>
          <w:sz w:val="20"/>
        </w:rPr>
        <w:t>On 19 November 2025 the Board authorized management to evaluate strategic alternatives</w:t>
      </w:r>
      <w:bookmarkEnd w:id="109"/>
      <w:r>
        <w:rPr>
          <w:rFonts w:ascii="Calibri" w:hAnsi="Calibri"/>
          <w:b w:val="0"/>
          <w:i w:val="0"/>
          <w:color w:val="1A1A1A"/>
          <w:sz w:val="20"/>
        </w:rPr>
        <w:t xml:space="preserve">, including interviewing financial advisors, without committing the company to a transaction. </w:t>
      </w:r>
      <w:bookmarkStart w:id="110" w:name="citei-c111"/>
      <w:r>
        <w:rPr>
          <w:rFonts w:ascii="Calibri" w:hAnsi="Calibri"/>
          <w:b w:val="0"/>
          <w:i w:val="0"/>
          <w:color w:val="1A1A1A"/>
          <w:sz w:val="20"/>
        </w:rPr>
        <w:t>By written consent on 12 February 2026 it engaged an exclusive financial advisor</w:t>
      </w:r>
      <w:bookmarkEnd w:id="110"/>
      <w:r>
        <w:rPr>
          <w:rFonts w:ascii="Calibri" w:hAnsi="Calibri"/>
          <w:b w:val="0"/>
          <w:i w:val="0"/>
          <w:color w:val="1A1A1A"/>
          <w:sz w:val="20"/>
        </w:rPr>
        <w:t xml:space="preserve"> for a potential sale of 100% of the equity, and </w:t>
      </w:r>
      <w:bookmarkStart w:id="111" w:name="citei-c112"/>
      <w:bookmarkStart w:id="112" w:name="citei-c113"/>
      <w:r>
        <w:rPr>
          <w:rFonts w:ascii="Calibri" w:hAnsi="Calibri"/>
          <w:b w:val="0"/>
          <w:i w:val="0"/>
          <w:color w:val="1A1A1A"/>
          <w:sz w:val="20"/>
        </w:rPr>
        <w:t>at a special meeting on 28 April 2026 it authorized the sale process itself</w:t>
      </w:r>
      <w:bookmarkEnd w:id="112"/>
      <w:bookmarkEnd w:id="111"/>
      <w:r>
        <w:rPr>
          <w:rFonts w:ascii="Calibri" w:hAnsi="Calibri"/>
          <w:b w:val="0"/>
          <w:i w:val="0"/>
          <w:color w:val="1A1A1A"/>
          <w:sz w:val="20"/>
        </w:rPr>
        <w:t xml:space="preserve">. </w:t>
      </w:r>
      <w:bookmarkStart w:id="113" w:name="citei-c114"/>
      <w:r>
        <w:rPr>
          <w:rFonts w:ascii="Calibri" w:hAnsi="Calibri"/>
          <w:b w:val="0"/>
          <w:i w:val="0"/>
          <w:color w:val="1A1A1A"/>
          <w:sz w:val="20"/>
        </w:rPr>
        <w:t>The process launched in May 2026</w:t>
      </w:r>
      <w:bookmarkEnd w:id="113"/>
      <w:r>
        <w:rPr>
          <w:rFonts w:ascii="Calibri" w:hAnsi="Calibri"/>
          <w:b w:val="0"/>
          <w:i w:val="0"/>
          <w:color w:val="1A1A1A"/>
          <w:sz w:val="20"/>
        </w:rPr>
        <w:t xml:space="preserve">; </w:t>
      </w:r>
      <w:bookmarkStart w:id="114" w:name="citei-c115"/>
      <w:r>
        <w:rPr>
          <w:rFonts w:ascii="Calibri" w:hAnsi="Calibri"/>
          <w:b w:val="0"/>
          <w:i w:val="0"/>
          <w:color w:val="1A1A1A"/>
          <w:sz w:val="20"/>
        </w:rPr>
        <w:t>indications of interest were due on 23 July 2026</w:t>
      </w:r>
      <w:bookmarkEnd w:id="114"/>
      <w:r>
        <w:rPr>
          <w:rFonts w:ascii="Calibri" w:hAnsi="Calibri"/>
          <w:b w:val="0"/>
          <w:i w:val="0"/>
          <w:color w:val="1A1A1A"/>
          <w:sz w:val="20"/>
        </w:rPr>
        <w:t xml:space="preserve">, with management meetings, </w:t>
      </w:r>
      <w:bookmarkStart w:id="115" w:name="citei-c116"/>
      <w:r>
        <w:rPr>
          <w:rFonts w:ascii="Calibri" w:hAnsi="Calibri"/>
          <w:b w:val="0"/>
          <w:i w:val="0"/>
          <w:color w:val="1A1A1A"/>
          <w:sz w:val="20"/>
        </w:rPr>
        <w:t>final bids and signing to follow in H2 2026</w:t>
      </w:r>
      <w:bookmarkEnd w:id="115"/>
      <w:r>
        <w:rPr>
          <w:rFonts w:ascii="Calibri" w:hAnsi="Calibri"/>
          <w:b w:val="0"/>
          <w:i w:val="0"/>
          <w:color w:val="1A1A1A"/>
          <w:sz w:val="20"/>
        </w:rPr>
        <w:t xml:space="preserve">. The RNO I ground lease needs </w:t>
      </w:r>
      <w:bookmarkStart w:id="116" w:name="citei-c117"/>
      <w:r>
        <w:rPr>
          <w:rFonts w:ascii="Calibri" w:hAnsi="Calibri"/>
          <w:b w:val="0"/>
          <w:i w:val="0"/>
          <w:color w:val="1A1A1A"/>
          <w:sz w:val="20"/>
        </w:rPr>
        <w:t>landlord consent on a change of control</w:t>
      </w:r>
      <w:bookmarkEnd w:id="116"/>
      <w:r>
        <w:rPr>
          <w:rFonts w:ascii="Calibri" w:hAnsi="Calibri"/>
          <w:b w:val="0"/>
          <w:i w:val="0"/>
          <w:color w:val="1A1A1A"/>
          <w:sz w:val="20"/>
        </w:rPr>
        <w:t xml:space="preserve"> (consent was obtained in 2019).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PHX II (60 MW, Mesa).</w:t>
      </w:r>
      <w:r>
        <w:rPr>
          <w:rFonts w:ascii="Calibri" w:hAnsi="Calibri"/>
          <w:b w:val="0"/>
          <w:i w:val="0"/>
          <w:color w:val="1A1A1A"/>
          <w:sz w:val="20"/>
        </w:rPr>
        <w:t xml:space="preserve"> </w:t>
      </w:r>
      <w:bookmarkStart w:id="45" w:name="citei-c46"/>
      <w:r>
        <w:rPr>
          <w:rFonts w:ascii="Calibri" w:hAnsi="Calibri"/>
          <w:b w:val="0"/>
          <w:i w:val="0"/>
          <w:color w:val="1A1A1A"/>
          <w:sz w:val="20"/>
        </w:rPr>
        <w:t>$412M of the $618M budget (67%)</w:t>
      </w:r>
      <w:bookmarkEnd w:id="45"/>
      <w:r>
        <w:rPr>
          <w:rFonts w:ascii="Calibri" w:hAnsi="Calibri"/>
          <w:b w:val="0"/>
          <w:i w:val="0"/>
          <w:color w:val="1A1A1A"/>
          <w:sz w:val="20"/>
        </w:rPr>
        <w:t xml:space="preserve"> was spent by 31 March. </w:t>
      </w:r>
      <w:bookmarkStart w:id="46" w:name="citei-c47"/>
      <w:r>
        <w:rPr>
          <w:rFonts w:ascii="Calibri" w:hAnsi="Calibri"/>
          <w:b w:val="0"/>
          <w:i w:val="0"/>
          <w:color w:val="1A1A1A"/>
          <w:sz w:val="20"/>
        </w:rPr>
        <w:t>Energization is set for October 2026</w:t>
      </w:r>
      <w:bookmarkEnd w:id="46"/>
      <w:r>
        <w:rPr>
          <w:rFonts w:ascii="Calibri" w:hAnsi="Calibri"/>
          <w:b w:val="0"/>
          <w:i w:val="0"/>
          <w:color w:val="1A1A1A"/>
          <w:sz w:val="20"/>
        </w:rPr>
        <w:t xml:space="preserve"> and first delivery for November 2026. The project is 70% pre-leased, and </w:t>
      </w:r>
      <w:bookmarkStart w:id="47" w:name="citei-c48"/>
      <w:r>
        <w:rPr>
          <w:rFonts w:ascii="Calibri" w:hAnsi="Calibri"/>
          <w:b w:val="0"/>
          <w:i w:val="0"/>
          <w:color w:val="1A1A1A"/>
          <w:sz w:val="20"/>
        </w:rPr>
        <w:t>two hyperscale proposals for the remaining 18 MW</w:t>
      </w:r>
      <w:bookmarkEnd w:id="47"/>
      <w:r>
        <w:rPr>
          <w:rFonts w:ascii="Calibri" w:hAnsi="Calibri"/>
          <w:b w:val="0"/>
          <w:i w:val="0"/>
          <w:color w:val="1A1A1A"/>
          <w:sz w:val="20"/>
        </w:rPr>
        <w:t xml:space="preserve"> are outstanding. The owner contingency is used up: change orders of $11.8M </w:t>
      </w:r>
      <w:bookmarkStart w:id="48" w:name="citei-c49"/>
      <w:r>
        <w:rPr>
          <w:rFonts w:ascii="Calibri" w:hAnsi="Calibri"/>
          <w:b w:val="0"/>
          <w:i w:val="0"/>
          <w:color w:val="1A1A1A"/>
          <w:sz w:val="20"/>
        </w:rPr>
        <w:t>cut it from $14.0M to $2.2M, $4.0M has been spent, leaving ($1.8M)</w:t>
      </w:r>
      <w:bookmarkEnd w:id="48"/>
      <w:r>
        <w:rPr>
          <w:rFonts w:ascii="Calibri" w:hAnsi="Calibri"/>
          <w:b w:val="0"/>
          <w:i w:val="0"/>
          <w:color w:val="1A1A1A"/>
          <w:sz w:val="20"/>
        </w:rPr>
        <w:t xml:space="preserve"> with $206M of work to go. A </w:t>
      </w:r>
      <w:bookmarkStart w:id="49" w:name="citei-c50"/>
      <w:r>
        <w:rPr>
          <w:rFonts w:ascii="Calibri" w:hAnsi="Calibri"/>
          <w:b w:val="0"/>
          <w:i w:val="0"/>
          <w:color w:val="1A1A1A"/>
          <w:sz w:val="20"/>
        </w:rPr>
        <w:t>disputed $4.6M HVAC claim</w:t>
      </w:r>
      <w:bookmarkEnd w:id="49"/>
      <w:r>
        <w:rPr>
          <w:rFonts w:ascii="Calibri" w:hAnsi="Calibri"/>
          <w:b w:val="0"/>
          <w:i w:val="0"/>
          <w:color w:val="1A1A1A"/>
          <w:sz w:val="20"/>
        </w:rPr>
        <w:t xml:space="preserve"> is outside the budget; the related lien is expected to settle in H2 2026 </w:t>
      </w:r>
      <w:bookmarkStart w:id="50" w:name="citei-c51"/>
      <w:r>
        <w:rPr>
          <w:rFonts w:ascii="Calibri" w:hAnsi="Calibri"/>
          <w:b w:val="0"/>
          <w:i w:val="0"/>
          <w:color w:val="1A1A1A"/>
          <w:sz w:val="20"/>
        </w:rPr>
        <w:t>within the $1.2M accrual</w:t>
      </w:r>
      <w:bookmarkEnd w:id="50"/>
      <w:r>
        <w:rPr>
          <w:rFonts w:ascii="Calibri" w:hAnsi="Calibri"/>
          <w:b w:val="0"/>
          <w:i w:val="0"/>
          <w:color w:val="1A1A1A"/>
          <w:sz w:val="20"/>
        </w:rPr>
        <w:t>.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ATL II (36 MW, Atlanta).</w:t>
      </w:r>
      <w:r>
        <w:rPr>
          <w:rFonts w:ascii="Calibri" w:hAnsi="Calibri"/>
          <w:b w:val="0"/>
          <w:i w:val="0"/>
          <w:color w:val="1A1A1A"/>
          <w:sz w:val="20"/>
        </w:rPr>
        <w:t xml:space="preserve"> </w:t>
      </w:r>
      <w:bookmarkStart w:id="51" w:name="citei-c52"/>
      <w:r>
        <w:rPr>
          <w:rFonts w:ascii="Calibri" w:hAnsi="Calibri"/>
          <w:b w:val="0"/>
          <w:i w:val="0"/>
          <w:color w:val="1A1A1A"/>
          <w:sz w:val="20"/>
        </w:rPr>
        <w:t>$96M of the $370M budget</w:t>
      </w:r>
      <w:bookmarkEnd w:id="51"/>
      <w:r>
        <w:rPr>
          <w:rFonts w:ascii="Calibri" w:hAnsi="Calibri"/>
          <w:b w:val="0"/>
          <w:i w:val="0"/>
          <w:color w:val="1A1A1A"/>
          <w:sz w:val="20"/>
        </w:rPr>
        <w:t xml:space="preserve"> was spent; steel erection is underway and June 2027 delivery is unchanged. </w:t>
      </w:r>
      <w:bookmarkStart w:id="52" w:name="citei-c53"/>
      <w:r>
        <w:rPr>
          <w:rFonts w:ascii="Calibri" w:hAnsi="Calibri"/>
          <w:b w:val="0"/>
          <w:i w:val="0"/>
          <w:color w:val="1A1A1A"/>
          <w:sz w:val="20"/>
        </w:rPr>
        <w:t>No senior leaders have left</w:t>
      </w:r>
      <w:bookmarkEnd w:id="52"/>
      <w:r>
        <w:rPr>
          <w:rFonts w:ascii="Calibri" w:hAnsi="Calibri"/>
          <w:b w:val="0"/>
          <w:i w:val="0"/>
          <w:color w:val="1A1A1A"/>
          <w:sz w:val="20"/>
        </w:rPr>
        <w:t xml:space="preserve"> during the process.</w:t>
      </w:r>
    </w:p>
    <w:p>
      <w:pPr>
        <w:pStyle w:val="Normal"/>
        <w:keepNext/>
        <w:spacing w:before="120" w:after="40" w:line="240"/>
        <w:rPr>
          <w:rFonts w:ascii="Calibri" w:hAnsi="Calibri"/>
          <w:b/>
          <w:i w:val="0"/>
          <w:color w:val="002060"/>
          <w:sz w:val="23"/>
        </w:rPr>
      </w:pPr>
      <w:r>
        <w:rPr>
          <w:rFonts w:ascii="Calibri" w:hAnsi="Calibri"/>
          <w:b/>
          <w:i w:val="0"/>
          <w:color w:val="002060"/>
          <w:sz w:val="23"/>
        </w:rPr>
        <w:t>Capital deployment was funded by operating cash flow and construction draws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 xml:space="preserve">Development and maintenance </w:t>
      </w:r>
      <w:bookmarkStart w:id="53" w:name="citei-c54"/>
      <w:r>
        <w:rPr>
          <w:rFonts w:ascii="Calibri" w:hAnsi="Calibri"/>
          <w:b w:val="0"/>
          <w:i w:val="0"/>
          <w:color w:val="1A1A1A"/>
          <w:sz w:val="20"/>
        </w:rPr>
        <w:t>capex was $75.7M</w:t>
      </w:r>
      <w:bookmarkEnd w:id="53"/>
      <w:r>
        <w:rPr>
          <w:rFonts w:ascii="Calibri" w:hAnsi="Calibri"/>
          <w:b w:val="0"/>
          <w:i w:val="0"/>
          <w:color w:val="1A1A1A"/>
          <w:sz w:val="20"/>
        </w:rPr>
        <w:t xml:space="preserve"> in the quarter, funded by </w:t>
      </w:r>
      <w:bookmarkStart w:id="54" w:name="citei-c55"/>
      <w:r>
        <w:rPr>
          <w:rFonts w:ascii="Calibri" w:hAnsi="Calibri"/>
          <w:b w:val="0"/>
          <w:i w:val="0"/>
          <w:color w:val="1A1A1A"/>
          <w:sz w:val="20"/>
        </w:rPr>
        <w:t>$38.1M of operating cash flow</w:t>
      </w:r>
      <w:bookmarkEnd w:id="54"/>
      <w:r>
        <w:rPr>
          <w:rFonts w:ascii="Calibri" w:hAnsi="Calibri"/>
          <w:b w:val="0"/>
          <w:i w:val="0"/>
          <w:color w:val="1A1A1A"/>
          <w:sz w:val="20"/>
        </w:rPr>
        <w:t xml:space="preserve"> and </w:t>
      </w:r>
      <w:bookmarkStart w:id="55" w:name="citei-c56"/>
      <w:r>
        <w:rPr>
          <w:rFonts w:ascii="Calibri" w:hAnsi="Calibri"/>
          <w:b w:val="0"/>
          <w:i w:val="0"/>
          <w:color w:val="1A1A1A"/>
          <w:sz w:val="20"/>
        </w:rPr>
        <w:t>$65.0M of construction facility draws</w:t>
      </w:r>
      <w:bookmarkEnd w:id="55"/>
      <w:r>
        <w:rPr>
          <w:rFonts w:ascii="Calibri" w:hAnsi="Calibri"/>
          <w:b w:val="0"/>
          <w:i w:val="0"/>
          <w:color w:val="1A1A1A"/>
          <w:sz w:val="20"/>
        </w:rPr>
        <w:t xml:space="preserve">, which lifted facilities drawn to </w:t>
      </w:r>
      <w:bookmarkStart w:id="56" w:name="citei-c57"/>
      <w:r>
        <w:rPr>
          <w:rFonts w:ascii="Calibri" w:hAnsi="Calibri"/>
          <w:b w:val="0"/>
          <w:i w:val="0"/>
          <w:color w:val="1A1A1A"/>
          <w:sz w:val="20"/>
        </w:rPr>
        <w:t>$485.0M</w:t>
      </w:r>
      <w:bookmarkEnd w:id="56"/>
      <w:r>
        <w:rPr>
          <w:rFonts w:ascii="Calibri" w:hAnsi="Calibri"/>
          <w:b w:val="0"/>
          <w:i w:val="0"/>
          <w:color w:val="1A1A1A"/>
          <w:sz w:val="20"/>
        </w:rPr>
        <w:t xml:space="preserve">. The company paid </w:t>
      </w:r>
      <w:bookmarkStart w:id="57" w:name="citei-c58"/>
      <w:r>
        <w:rPr>
          <w:rFonts w:ascii="Calibri" w:hAnsi="Calibri"/>
          <w:b w:val="0"/>
          <w:i w:val="0"/>
          <w:color w:val="1A1A1A"/>
          <w:sz w:val="20"/>
        </w:rPr>
        <w:t>$19.4M of distributions</w:t>
      </w:r>
      <w:bookmarkEnd w:id="57"/>
      <w:r>
        <w:rPr>
          <w:rFonts w:ascii="Calibri" w:hAnsi="Calibri"/>
          <w:b w:val="0"/>
          <w:i w:val="0"/>
          <w:color w:val="1A1A1A"/>
          <w:sz w:val="20"/>
        </w:rPr>
        <w:t xml:space="preserve"> to members and ended with </w:t>
      </w:r>
      <w:bookmarkStart w:id="58" w:name="citei-c59"/>
      <w:r>
        <w:rPr>
          <w:rFonts w:ascii="Calibri" w:hAnsi="Calibri"/>
          <w:b w:val="0"/>
          <w:i w:val="0"/>
          <w:color w:val="1A1A1A"/>
          <w:sz w:val="20"/>
        </w:rPr>
        <w:t>$91.2M of cash</w:t>
      </w:r>
      <w:bookmarkEnd w:id="58"/>
      <w:r>
        <w:rPr>
          <w:rFonts w:ascii="Calibri" w:hAnsi="Calibri"/>
          <w:b w:val="0"/>
          <w:i w:val="0"/>
          <w:color w:val="1A1A1A"/>
          <w:sz w:val="20"/>
        </w:rPr>
        <w:t xml:space="preserve">. </w:t>
      </w:r>
      <w:bookmarkStart w:id="59" w:name="citei-c60"/>
      <w:r>
        <w:rPr>
          <w:rFonts w:ascii="Calibri" w:hAnsi="Calibri"/>
          <w:b w:val="0"/>
          <w:i w:val="0"/>
          <w:color w:val="1A1A1A"/>
          <w:sz w:val="20"/>
        </w:rPr>
        <w:t>Net debt was $1,543.8M, 6.6x LTM adjusted EBITDA of $235.6M</w:t>
      </w:r>
      <w:bookmarkEnd w:id="59"/>
      <w:r>
        <w:rPr>
          <w:rFonts w:ascii="Calibri" w:hAnsi="Calibri"/>
          <w:b w:val="0"/>
          <w:i w:val="0"/>
          <w:color w:val="1A1A1A"/>
          <w:sz w:val="20"/>
        </w:rPr>
        <w:t xml:space="preserve"> (management-definition adjusted EBITDA and net debt at 31 March 2026, not a buyer diligence figure)</w:t>
      </w:r>
      <w:r>
        <w:rPr>
          <w:rFonts w:ascii="Calibri" w:hAnsi="Calibri"/>
          <w:b w:val="0"/>
          <w:i w:val="0"/>
          <w:color w:val="1A1A1A"/>
          <w:sz w:val="20"/>
        </w:rPr>
        <w:t xml:space="preserve">, inside the </w:t>
      </w:r>
      <w:bookmarkStart w:id="60" w:name="citei-c61"/>
      <w:r>
        <w:rPr>
          <w:rFonts w:ascii="Calibri" w:hAnsi="Calibri"/>
          <w:b w:val="0"/>
          <w:i w:val="0"/>
          <w:color w:val="1A1A1A"/>
          <w:sz w:val="20"/>
        </w:rPr>
        <w:t>7.5x covenant maximum</w:t>
      </w:r>
      <w:bookmarkEnd w:id="60"/>
      <w:r>
        <w:rPr>
          <w:rFonts w:ascii="Calibri" w:hAnsi="Calibri"/>
          <w:b w:val="0"/>
          <w:i w:val="0"/>
          <w:color w:val="1A1A1A"/>
          <w:sz w:val="20"/>
        </w:rPr>
        <w:t xml:space="preserve">. The </w:t>
      </w:r>
      <w:bookmarkStart w:id="61" w:name="citei-c62"/>
      <w:r>
        <w:rPr>
          <w:rFonts w:ascii="Calibri" w:hAnsi="Calibri"/>
          <w:b w:val="0"/>
          <w:i w:val="0"/>
          <w:color w:val="1A1A1A"/>
          <w:sz w:val="20"/>
        </w:rPr>
        <w:t>$480M left to spend</w:t>
      </w:r>
      <w:bookmarkEnd w:id="61"/>
      <w:r>
        <w:rPr>
          <w:rFonts w:ascii="Calibri" w:hAnsi="Calibri"/>
          <w:b w:val="0"/>
          <w:i w:val="0"/>
          <w:color w:val="1A1A1A"/>
          <w:sz w:val="20"/>
        </w:rPr>
        <w:t xml:space="preserve"> on PHX II and ATL II exceeds the </w:t>
      </w:r>
      <w:bookmarkStart w:id="62" w:name="citei-c63"/>
      <w:r>
        <w:rPr>
          <w:rFonts w:ascii="Calibri" w:hAnsi="Calibri"/>
          <w:b w:val="0"/>
          <w:i w:val="0"/>
          <w:color w:val="1A1A1A"/>
          <w:sz w:val="20"/>
        </w:rPr>
        <w:t>$115M of undrawn construction facilities by $365M</w:t>
      </w:r>
      <w:bookmarkEnd w:id="62"/>
      <w:r>
        <w:rPr>
          <w:rFonts w:ascii="Calibri" w:hAnsi="Calibri"/>
          <w:b w:val="0"/>
          <w:i w:val="0"/>
          <w:color w:val="1A1A1A"/>
          <w:sz w:val="20"/>
        </w:rPr>
        <w:t>, which must come from operating cash flow or new capital.</w:t>
      </w:r>
    </w:p>
    <w:p>
      <w:pPr>
        <w:pStyle w:val="Normal"/>
        <w:keepNext/>
        <w:spacing w:before="120" w:after="40" w:line="240"/>
        <w:rPr>
          <w:rFonts w:ascii="Calibri" w:hAnsi="Calibri"/>
          <w:b/>
          <w:i w:val="0"/>
          <w:color w:val="002060"/>
          <w:sz w:val="23"/>
        </w:rPr>
      </w:pPr>
      <w:r>
        <w:rPr>
          <w:rFonts w:ascii="Calibri" w:hAnsi="Calibri"/>
          <w:b/>
          <w:i w:val="0"/>
          <w:color w:val="002060"/>
          <w:sz w:val="23"/>
        </w:rPr>
        <w:t>Valuation basis: independent campus appraisals, illustrative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 xml:space="preserve">The data room holds no Fund IV carrying value, so this letter uses an illustrative basis that can be traced line by line in the table below. Independent as-is appraisals value the six operating campuses, the buildings only, </w:t>
      </w:r>
      <w:bookmarkStart w:id="83" w:name="citei-c84"/>
      <w:bookmarkStart w:id="84" w:name="citei-c85"/>
      <w:r>
        <w:rPr>
          <w:rFonts w:ascii="Calibri" w:hAnsi="Calibri"/>
          <w:b w:val="0"/>
          <w:i w:val="0"/>
          <w:color w:val="1A1A1A"/>
          <w:sz w:val="20"/>
        </w:rPr>
        <w:t>at $4,095M at 31 March 2026</w:t>
      </w:r>
      <w:bookmarkEnd w:id="84"/>
      <w:bookmarkEnd w:id="83"/>
      <w:r>
        <w:rPr>
          <w:rFonts w:ascii="Calibri" w:hAnsi="Calibri"/>
          <w:b w:val="0"/>
          <w:i w:val="0"/>
          <w:color w:val="1A1A1A"/>
          <w:sz w:val="20"/>
        </w:rPr>
        <w:t xml:space="preserve">. We add development work in progress at book cost of </w:t>
      </w:r>
      <w:bookmarkStart w:id="85" w:name="citei-c86"/>
      <w:r>
        <w:rPr>
          <w:rFonts w:ascii="Calibri" w:hAnsi="Calibri"/>
          <w:b w:val="0"/>
          <w:i w:val="0"/>
          <w:color w:val="1A1A1A"/>
          <w:sz w:val="20"/>
        </w:rPr>
        <w:t>$508M</w:t>
      </w:r>
      <w:bookmarkEnd w:id="85"/>
      <w:r>
        <w:rPr>
          <w:rFonts w:ascii="Calibri" w:hAnsi="Calibri"/>
          <w:b w:val="0"/>
          <w:i w:val="0"/>
          <w:color w:val="1A1A1A"/>
          <w:sz w:val="20"/>
        </w:rPr>
        <w:t xml:space="preserve"> (PHX II and ATL II, not appraised) and deduct </w:t>
      </w:r>
      <w:bookmarkStart w:id="86" w:name="citei-c87"/>
      <w:r>
        <w:rPr>
          <w:rFonts w:ascii="Calibri" w:hAnsi="Calibri"/>
          <w:b w:val="0"/>
          <w:i w:val="0"/>
          <w:color w:val="1A1A1A"/>
          <w:sz w:val="20"/>
        </w:rPr>
        <w:t>net debt of $1,543.8M</w:t>
      </w:r>
      <w:bookmarkEnd w:id="86"/>
      <w:r>
        <w:rPr>
          <w:rFonts w:ascii="Calibri" w:hAnsi="Calibri"/>
          <w:b w:val="0"/>
          <w:i w:val="0"/>
          <w:color w:val="1A1A1A"/>
          <w:sz w:val="20"/>
        </w:rPr>
        <w:t xml:space="preserve">, giving an </w:t>
      </w:r>
      <w:bookmarkStart w:id="87" w:name="citei-c88"/>
      <w:r>
        <w:rPr>
          <w:rFonts w:ascii="Calibri" w:hAnsi="Calibri"/>
          <w:b w:val="0"/>
          <w:i w:val="0"/>
          <w:color w:val="1A1A1A"/>
          <w:sz w:val="20"/>
        </w:rPr>
        <w:t>equity value of $3,059M</w:t>
      </w:r>
      <w:bookmarkEnd w:id="87"/>
      <w:r>
        <w:rPr>
          <w:rFonts w:ascii="Calibri" w:hAnsi="Calibri"/>
          <w:b w:val="0"/>
          <w:i w:val="0"/>
          <w:color w:val="1A1A1A"/>
          <w:sz w:val="20"/>
        </w:rPr>
        <w:t xml:space="preserve">. Fund IV's 62.0% fully diluted share of that is </w:t>
      </w:r>
      <w:bookmarkStart w:id="88" w:name="citei-c89"/>
      <w:r>
        <w:rPr>
          <w:rFonts w:ascii="Calibri" w:hAnsi="Calibri"/>
          <w:b w:val="0"/>
          <w:i w:val="0"/>
          <w:color w:val="1A1A1A"/>
          <w:sz w:val="20"/>
        </w:rPr>
        <w:t>$1,897M</w:t>
      </w:r>
      <w:bookmarkEnd w:id="88"/>
      <w:r>
        <w:rPr>
          <w:rFonts w:ascii="Calibri" w:hAnsi="Calibri"/>
          <w:b w:val="0"/>
          <w:i w:val="0"/>
          <w:color w:val="1A1A1A"/>
          <w:sz w:val="20"/>
        </w:rPr>
        <w:t xml:space="preserve">. Because the Class B profits interests share only in value above their distribution thresholds, </w:t>
      </w:r>
      <w:bookmarkStart w:id="89" w:name="citei-c90"/>
      <w:r>
        <w:rPr>
          <w:rFonts w:ascii="Calibri" w:hAnsi="Calibri"/>
          <w:b w:val="0"/>
          <w:i w:val="0"/>
          <w:color w:val="1A1A1A"/>
          <w:sz w:val="20"/>
        </w:rPr>
        <w:t>a further $70M</w:t>
      </w:r>
      <w:bookmarkEnd w:id="89"/>
      <w:r>
        <w:rPr>
          <w:rFonts w:ascii="Calibri" w:hAnsi="Calibri"/>
          <w:b w:val="0"/>
          <w:i w:val="0"/>
          <w:color w:val="1A1A1A"/>
          <w:sz w:val="20"/>
        </w:rPr>
        <w:t xml:space="preserve"> accrues to Fund IV, </w:t>
      </w:r>
      <w:bookmarkStart w:id="90" w:name="citei-c91"/>
      <w:r>
        <w:rPr>
          <w:rFonts w:ascii="Calibri" w:hAnsi="Calibri"/>
          <w:b w:val="0"/>
          <w:i w:val="0"/>
          <w:color w:val="1A1A1A"/>
          <w:sz w:val="20"/>
        </w:rPr>
        <w:t>giving $1,967M, or 64.3% of equity</w:t>
      </w:r>
      <w:bookmarkEnd w:id="90"/>
      <w:r>
        <w:rPr>
          <w:rFonts w:ascii="Calibri" w:hAnsi="Calibri"/>
          <w:b w:val="0"/>
          <w:i w:val="0"/>
          <w:color w:val="1A1A1A"/>
          <w:sz w:val="20"/>
        </w:rPr>
        <w:t xml:space="preserve">. That is </w:t>
      </w:r>
      <w:bookmarkStart w:id="91" w:name="citei-c92"/>
      <w:r>
        <w:rPr>
          <w:rFonts w:ascii="Calibri" w:hAnsi="Calibri"/>
          <w:b w:val="0"/>
          <w:i w:val="0"/>
          <w:color w:val="1A1A1A"/>
          <w:sz w:val="20"/>
        </w:rPr>
        <w:t>4.6x invested capital of $425M</w:t>
      </w:r>
      <w:bookmarkEnd w:id="91"/>
      <w:r>
        <w:rPr>
          <w:rFonts w:ascii="Calibri" w:hAnsi="Calibri"/>
          <w:b w:val="0"/>
          <w:i w:val="0"/>
          <w:color w:val="1A1A1A"/>
          <w:sz w:val="20"/>
        </w:rPr>
        <w:t xml:space="preserve"> (62/70 of the $480M invested in September 2019), before distributions. On the campuses alone, with no credit for work in progress, </w:t>
      </w:r>
      <w:bookmarkStart w:id="92" w:name="citei-c93"/>
      <w:r>
        <w:rPr>
          <w:rFonts w:ascii="Calibri" w:hAnsi="Calibri"/>
          <w:b w:val="0"/>
          <w:i w:val="0"/>
          <w:color w:val="1A1A1A"/>
          <w:sz w:val="20"/>
        </w:rPr>
        <w:t>equity is $2,551M and Fund IV</w:t>
      </w:r>
      <w:bookmarkEnd w:id="92"/>
      <w:r>
        <w:rPr>
          <w:rFonts w:ascii="Calibri" w:hAnsi="Calibri"/>
          <w:b w:val="0"/>
          <w:i w:val="0"/>
          <w:color w:val="1A1A1A"/>
          <w:sz w:val="20"/>
        </w:rPr>
        <w:t xml:space="preserve">'s share </w:t>
      </w:r>
      <w:bookmarkStart w:id="93" w:name="citei-c94"/>
      <w:r>
        <w:rPr>
          <w:rFonts w:ascii="Calibri" w:hAnsi="Calibri"/>
          <w:b w:val="0"/>
          <w:i w:val="0"/>
          <w:color w:val="1A1A1A"/>
          <w:sz w:val="20"/>
        </w:rPr>
        <w:t>$1,652M (3.9x)</w:t>
      </w:r>
      <w:bookmarkEnd w:id="93"/>
      <w:r>
        <w:rPr>
          <w:rFonts w:ascii="Calibri" w:hAnsi="Calibri"/>
          <w:b w:val="0"/>
          <w:i w:val="0"/>
          <w:color w:val="1A1A1A"/>
          <w:sz w:val="20"/>
        </w:rPr>
        <w:t>. The sale process, not the appraisals, will set realized value.</w:t>
      </w:r>
    </w:p>
    <w:p>
      <w:pPr>
        <w:pStyle w:val="Normal"/>
        <w:spacing w:before="40" w:after="40" w:line="240"/>
        <w:rPr>
          <w:rFonts w:ascii="Calibri" w:hAnsi="Calibri"/>
          <w:b/>
          <w:i w:val="0"/>
          <w:color w:val="002060"/>
          <w:sz w:val="19"/>
        </w:rPr>
      </w:pPr>
      <w:r>
        <w:rPr>
          <w:rFonts w:ascii="Calibri" w:hAnsi="Calibri"/>
          <w:b/>
          <w:i w:val="0"/>
          <w:color w:val="002060"/>
          <w:sz w:val="19"/>
        </w:rPr>
        <w:t>Valuation bridge, 31 March 2026 (US$ millions, illustrative)</w:t>
      </w:r>
    </w:p>
    <w:tbl>
      <w:tblPr>
        <w:tblW w:w="100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>
      <w:tblGrid>
        <w:gridCol w:w="6000"/>
        <w:gridCol w:w="2040"/>
        <w:gridCol w:w="2040"/>
      </w:tblGrid>
      <w:tr>
        <w:tc>
          <w:tcPr>
            <w:tcW w:w="600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Line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Incl. WIP at cost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shd w:val="clear" w:fill="F2F0EC"/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Campuses only</w:t>
            </w:r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Appraised operating campuses, as is (buildings only)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94" w:name="citei-c95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4,095.0</w:t>
            </w:r>
            <w:bookmarkEnd w:id="94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95" w:name="citei-c96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4,095.0</w:t>
            </w:r>
            <w:bookmarkEnd w:id="95"/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Plus: development work in progress at cost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96" w:name="citei-c97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508.0</w:t>
            </w:r>
            <w:bookmarkEnd w:id="96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n/a</w:t>
            </w:r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Less: net debt at 31 March 2026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97" w:name="citei-c98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(1,543.8)</w:t>
            </w:r>
            <w:bookmarkEnd w:id="97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98" w:name="citei-c99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(1,543.8)</w:t>
            </w:r>
            <w:bookmarkEnd w:id="98"/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Equity value, 100%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bookmarkStart w:id="99" w:name="citei-c100"/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3,059.2</w:t>
            </w:r>
            <w:bookmarkEnd w:id="99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bookmarkStart w:id="100" w:name="citei-c101"/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2,551.2</w:t>
            </w:r>
            <w:bookmarkEnd w:id="100"/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Fund IV at 62.0% fully diluted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101" w:name="citei-c102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1,896.7</w:t>
            </w:r>
            <w:bookmarkEnd w:id="101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102" w:name="citei-c103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1,581.7</w:t>
            </w:r>
            <w:bookmarkEnd w:id="102"/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Plus: Fund IV share of Class B value below thresholds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103" w:name="citei-c104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70.5</w:t>
            </w:r>
            <w:bookmarkEnd w:id="103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104" w:name="citei-c105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70.5</w:t>
            </w:r>
            <w:bookmarkEnd w:id="104"/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Fund IV share of equity value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bookmarkStart w:id="105" w:name="citei-c106"/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1,967.2</w:t>
            </w:r>
            <w:bookmarkEnd w:id="105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/>
                <w:i w:val="0"/>
                <w:color w:val="1A1A1A"/>
                <w:sz w:val="18"/>
              </w:rPr>
            </w:pPr>
            <w:bookmarkStart w:id="106" w:name="citei-c107"/>
            <w:r>
              <w:rPr>
                <w:rFonts w:ascii="Calibri" w:hAnsi="Calibri"/>
                <w:b/>
                <w:i w:val="0"/>
                <w:color w:val="1A1A1A"/>
                <w:sz w:val="18"/>
              </w:rPr>
              <w:t>1,652.2</w:t>
            </w:r>
            <w:bookmarkEnd w:id="106"/>
          </w:p>
        </w:tc>
      </w:tr>
      <w:tr>
        <w:tc>
          <w:tcPr>
            <w:tcW w:w="600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lef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Fund IV value / invested capital of $425.1M</w:t>
            </w:r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107" w:name="citei-c108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4.6x</w:t>
            </w:r>
            <w:bookmarkEnd w:id="107"/>
          </w:p>
        </w:tc>
        <w:tc>
          <w:tcPr>
            <w:tcW w:w="2040" w:type="dxa"/>
            <w:tcBorders>
              <w:bottom w:val="single" w:color="D9D9D9" w:sz="6" w:space="0"/>
            </w:tcBorders>
            <w:tcMar>
              <w:top w:w="20" w:type="dxa"/>
              <w:bottom w:w="20" w:type="dxa"/>
            </w:tcMar>
          </w:tcPr>
          <w:p>
            <w:pPr>
              <w:spacing w:before="0" w:after="0" w:line="240"/>
              <w:jc w:val="right"/>
              <w:rPr>
                <w:rFonts w:ascii="Calibri" w:hAnsi="Calibri"/>
                <w:b w:val="0"/>
                <w:i w:val="0"/>
                <w:color w:val="1A1A1A"/>
                <w:sz w:val="18"/>
              </w:rPr>
            </w:pPr>
            <w:bookmarkStart w:id="108" w:name="citei-c109"/>
            <w:r>
              <w:rPr>
                <w:rFonts w:ascii="Calibri" w:hAnsi="Calibri"/>
                <w:b w:val="0"/>
                <w:i w:val="0"/>
                <w:color w:val="1A1A1A"/>
                <w:sz w:val="18"/>
              </w:rPr>
              <w:t>3.9x</w:t>
            </w:r>
            <w:bookmarkEnd w:id="108"/>
          </w:p>
        </w:tc>
      </w:tr>
    </w:tbl>
    <w:p>
      <w:pPr>
        <w:pStyle w:val="Normal"/>
        <w:keepNext/>
        <w:spacing w:before="120" w:after="40" w:line="240"/>
        <w:rPr>
          <w:rFonts w:ascii="Calibri" w:hAnsi="Calibri"/>
          <w:b/>
          <w:i w:val="0"/>
          <w:color w:val="002060"/>
          <w:sz w:val="23"/>
        </w:rPr>
      </w:pPr>
      <w:r>
        <w:rPr>
          <w:rFonts w:ascii="Calibri" w:hAnsi="Calibri"/>
          <w:b/>
          <w:i w:val="0"/>
          <w:color w:val="002060"/>
          <w:sz w:val="23"/>
        </w:rPr>
        <w:t>Risks we are monitoring: three diligence findings could weigh on bids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Contracted term.</w:t>
      </w:r>
      <w:r>
        <w:rPr>
          <w:rFonts w:ascii="Calibri" w:hAnsi="Calibri"/>
          <w:b w:val="0"/>
          <w:i w:val="0"/>
          <w:color w:val="1A1A1A"/>
          <w:sz w:val="20"/>
        </w:rPr>
        <w:t xml:space="preserve"> The executed hyperscale leases </w:t>
      </w:r>
      <w:bookmarkStart w:id="77" w:name="citei-c78"/>
      <w:r>
        <w:rPr>
          <w:rFonts w:ascii="Calibri" w:hAnsi="Calibri"/>
          <w:b w:val="0"/>
          <w:i w:val="0"/>
          <w:color w:val="1A1A1A"/>
          <w:sz w:val="20"/>
        </w:rPr>
        <w:t>expire between 2028 and 2032</w:t>
      </w:r>
      <w:bookmarkEnd w:id="77"/>
      <w:r>
        <w:rPr>
          <w:rFonts w:ascii="Calibri" w:hAnsi="Calibri"/>
          <w:b w:val="0"/>
          <w:i w:val="0"/>
          <w:color w:val="1A1A1A"/>
          <w:sz w:val="20"/>
        </w:rPr>
        <w:t xml:space="preserve">, while the rent roll and lease abstracts show terms re-dated to 2034 to 2037 with no amendment in the data room. On executed terms the portfolio WALT is </w:t>
      </w:r>
      <w:bookmarkStart w:id="78" w:name="citei-c79"/>
      <w:r>
        <w:rPr>
          <w:rFonts w:ascii="Calibri" w:hAnsi="Calibri"/>
          <w:b w:val="0"/>
          <w:i w:val="0"/>
          <w:color w:val="1A1A1A"/>
          <w:sz w:val="20"/>
        </w:rPr>
        <w:t>about 4.0 years</w:t>
      </w:r>
      <w:bookmarkEnd w:id="78"/>
      <w:r>
        <w:rPr>
          <w:rFonts w:ascii="Calibri" w:hAnsi="Calibri"/>
          <w:b w:val="0"/>
          <w:i w:val="0"/>
          <w:color w:val="1A1A1A"/>
          <w:sz w:val="20"/>
        </w:rPr>
        <w:t>, against the 6.9 years the board materials present.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Power cost recovery.</w:t>
      </w:r>
      <w:r>
        <w:rPr>
          <w:rFonts w:ascii="Calibri" w:hAnsi="Calibri"/>
          <w:b w:val="0"/>
          <w:i w:val="0"/>
          <w:color w:val="1A1A1A"/>
          <w:sz w:val="20"/>
        </w:rPr>
        <w:t xml:space="preserve"> Interval data put FY25 utility cost at </w:t>
      </w:r>
      <w:bookmarkStart w:id="79" w:name="citei-c80"/>
      <w:r>
        <w:rPr>
          <w:rFonts w:ascii="Calibri" w:hAnsi="Calibri"/>
          <w:b w:val="0"/>
          <w:i w:val="0"/>
          <w:color w:val="1A1A1A"/>
          <w:sz w:val="20"/>
        </w:rPr>
        <w:t>about $92.4M against $84.2M billed</w:t>
      </w:r>
      <w:bookmarkEnd w:id="79"/>
      <w:r>
        <w:rPr>
          <w:rFonts w:ascii="Calibri" w:hAnsi="Calibri"/>
          <w:b w:val="0"/>
          <w:i w:val="0"/>
          <w:color w:val="1A1A1A"/>
          <w:sz w:val="20"/>
        </w:rPr>
        <w:t xml:space="preserve"> to tenants, so roughly </w:t>
      </w:r>
      <w:bookmarkStart w:id="80" w:name="citei-c81"/>
      <w:r>
        <w:rPr>
          <w:rFonts w:ascii="Calibri" w:hAnsi="Calibri"/>
          <w:b w:val="0"/>
          <w:i w:val="0"/>
          <w:color w:val="1A1A1A"/>
          <w:sz w:val="20"/>
        </w:rPr>
        <w:t>$8.2M a year</w:t>
      </w:r>
      <w:bookmarkEnd w:id="80"/>
      <w:r>
        <w:rPr>
          <w:rFonts w:ascii="Calibri" w:hAnsi="Calibri"/>
          <w:b w:val="0"/>
          <w:i w:val="0"/>
          <w:color w:val="1A1A1A"/>
          <w:sz w:val="20"/>
        </w:rPr>
        <w:t xml:space="preserve"> of power cost may not be recovered, although the accounts book power cost equal to reimbursements.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Development cost and funding.</w:t>
      </w:r>
      <w:r>
        <w:rPr>
          <w:rFonts w:ascii="Calibri" w:hAnsi="Calibri"/>
          <w:b w:val="0"/>
          <w:i w:val="0"/>
          <w:color w:val="1A1A1A"/>
          <w:sz w:val="20"/>
        </w:rPr>
        <w:t xml:space="preserve"> PHX II has no owner contingency left with </w:t>
      </w:r>
      <w:bookmarkStart w:id="81" w:name="citei-c82"/>
      <w:r>
        <w:rPr>
          <w:rFonts w:ascii="Calibri" w:hAnsi="Calibri"/>
          <w:b w:val="0"/>
          <w:i w:val="0"/>
          <w:color w:val="1A1A1A"/>
          <w:sz w:val="20"/>
        </w:rPr>
        <w:t>$206M of work to complete</w:t>
      </w:r>
      <w:bookmarkEnd w:id="81"/>
      <w:r>
        <w:rPr>
          <w:rFonts w:ascii="Calibri" w:hAnsi="Calibri"/>
          <w:b w:val="0"/>
          <w:i w:val="0"/>
          <w:color w:val="1A1A1A"/>
          <w:sz w:val="20"/>
        </w:rPr>
        <w:t xml:space="preserve">, and </w:t>
      </w:r>
      <w:bookmarkStart w:id="82" w:name="citei-c83"/>
      <w:r>
        <w:rPr>
          <w:rFonts w:ascii="Calibri" w:hAnsi="Calibri"/>
          <w:b w:val="0"/>
          <w:i w:val="0"/>
          <w:color w:val="1A1A1A"/>
          <w:sz w:val="20"/>
        </w:rPr>
        <w:t>$365M</w:t>
      </w:r>
      <w:bookmarkEnd w:id="82"/>
      <w:r>
        <w:rPr>
          <w:rFonts w:ascii="Calibri" w:hAnsi="Calibri"/>
          <w:b w:val="0"/>
          <w:i w:val="0"/>
          <w:color w:val="1A1A1A"/>
          <w:sz w:val="20"/>
        </w:rPr>
        <w:t xml:space="preserve"> of the remaining capacity-in-flight spend is not covered by committed construction facilities.</w:t>
      </w:r>
    </w:p>
    <w:p>
      <w:pPr>
        <w:pStyle w:val="Normal"/>
        <w:keepNext/>
        <w:spacing w:before="120" w:after="40" w:line="240"/>
        <w:rPr>
          <w:rFonts w:ascii="Calibri" w:hAnsi="Calibri"/>
          <w:b/>
          <w:i w:val="0"/>
          <w:color w:val="002060"/>
          <w:sz w:val="23"/>
        </w:rPr>
      </w:pPr>
      <w:r>
        <w:rPr>
          <w:rFonts w:ascii="Calibri" w:hAnsi="Calibri"/>
          <w:b/>
          <w:i w:val="0"/>
          <w:color w:val="002060"/>
          <w:sz w:val="23"/>
        </w:rPr>
        <w:t>Outlook: the FY26 budget is weighted to PHX II deliveries late in the year</w:t>
      </w:r>
    </w:p>
    <w:p>
      <w:pPr>
        <w:pStyle w:val="Normal"/>
        <w:spacing w:before="0" w:after="6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 xml:space="preserve">The Board-approved FY26 budget calls for </w:t>
      </w:r>
      <w:bookmarkStart w:id="71" w:name="citei-c72"/>
      <w:bookmarkStart w:id="72" w:name="citei-c73"/>
      <w:r>
        <w:rPr>
          <w:rFonts w:ascii="Calibri" w:hAnsi="Calibri"/>
          <w:b w:val="0"/>
          <w:i w:val="0"/>
          <w:color w:val="1A1A1A"/>
          <w:sz w:val="20"/>
        </w:rPr>
        <w:t>revenue of $486M, NOI of $293M and adjusted EBITDA of $272M</w:t>
      </w:r>
      <w:bookmarkEnd w:id="72"/>
      <w:bookmarkEnd w:id="71"/>
      <w:r>
        <w:rPr>
          <w:rFonts w:ascii="Calibri" w:hAnsi="Calibri"/>
          <w:b w:val="0"/>
          <w:i w:val="0"/>
          <w:color w:val="1A1A1A"/>
          <w:sz w:val="20"/>
        </w:rPr>
        <w:t xml:space="preserve">, including a partial-year contribution from PHX II from November 2026. Q1 delivered </w:t>
      </w:r>
      <w:bookmarkStart w:id="73" w:name="citei-c74"/>
      <w:r>
        <w:rPr>
          <w:rFonts w:ascii="Calibri" w:hAnsi="Calibri"/>
          <w:b w:val="0"/>
          <w:i w:val="0"/>
          <w:color w:val="1A1A1A"/>
          <w:sz w:val="20"/>
        </w:rPr>
        <w:t>23.3% of budgeted revenue and 22.8% of budgeted EBITDA</w:t>
      </w:r>
      <w:bookmarkEnd w:id="73"/>
      <w:r>
        <w:rPr>
          <w:rFonts w:ascii="Calibri" w:hAnsi="Calibri"/>
          <w:b w:val="0"/>
          <w:i w:val="0"/>
          <w:color w:val="1A1A1A"/>
          <w:sz w:val="20"/>
        </w:rPr>
        <w:t xml:space="preserve">, in line with a plan weighted to the fourth quarter. The budget targets </w:t>
      </w:r>
      <w:bookmarkStart w:id="74" w:name="citei-c75"/>
      <w:r>
        <w:rPr>
          <w:rFonts w:ascii="Calibri" w:hAnsi="Calibri"/>
          <w:b w:val="0"/>
          <w:i w:val="0"/>
          <w:color w:val="1A1A1A"/>
          <w:sz w:val="20"/>
        </w:rPr>
        <w:t>250 MW commissioned and 232 MW leased</w:t>
      </w:r>
      <w:bookmarkEnd w:id="74"/>
      <w:r>
        <w:rPr>
          <w:rFonts w:ascii="Calibri" w:hAnsi="Calibri"/>
          <w:b w:val="0"/>
          <w:i w:val="0"/>
          <w:color w:val="1A1A1A"/>
          <w:sz w:val="20"/>
        </w:rPr>
        <w:t xml:space="preserve"> by year end, with </w:t>
      </w:r>
      <w:bookmarkStart w:id="75" w:name="citei-c76"/>
      <w:r>
        <w:rPr>
          <w:rFonts w:ascii="Calibri" w:hAnsi="Calibri"/>
          <w:b w:val="0"/>
          <w:i w:val="0"/>
          <w:color w:val="1A1A1A"/>
          <w:sz w:val="20"/>
        </w:rPr>
        <w:t>$420M of development capex</w:t>
      </w:r>
      <w:bookmarkEnd w:id="75"/>
      <w:r>
        <w:rPr>
          <w:rFonts w:ascii="Calibri" w:hAnsi="Calibri"/>
          <w:b w:val="0"/>
          <w:i w:val="0"/>
          <w:color w:val="1A1A1A"/>
          <w:sz w:val="20"/>
        </w:rPr>
        <w:t>. Our priorities with management are PHX II energization and delivery, leasing the remaining 18 MW, a funding plan for capacity in flight, and a well-run sale process. We will report on indications of interest next quarter.</w:t>
      </w:r>
    </w:p>
    <w:p>
      <w:pPr>
        <w:pStyle w:val="Normal"/>
        <w:spacing w:before="80" w:after="20" w:line="240"/>
        <w:rPr>
          <w:rFonts w:ascii="Calibri" w:hAnsi="Calibri"/>
          <w:b w:val="0"/>
          <w:i w:val="0"/>
          <w:color w:val="1A1A1A"/>
          <w:sz w:val="20"/>
        </w:rPr>
      </w:pPr>
      <w:r>
        <w:rPr>
          <w:rFonts w:ascii="Calibri" w:hAnsi="Calibri"/>
          <w:b w:val="0"/>
          <w:i w:val="0"/>
          <w:color w:val="1A1A1A"/>
          <w:sz w:val="20"/>
        </w:rPr>
        <w:t>Yours sincerely,</w:t>
      </w:r>
    </w:p>
    <w:p>
      <w:pPr>
        <w:pStyle w:val="Normal"/>
        <w:spacing w:before="0" w:after="80" w:line="240"/>
        <w:rPr>
          <w:rFonts w:ascii="Calibri" w:hAnsi="Calibri"/>
          <w:b/>
          <w:i w:val="0"/>
          <w:color w:val="1A1A1A"/>
          <w:sz w:val="20"/>
        </w:rPr>
      </w:pPr>
      <w:r>
        <w:rPr>
          <w:rFonts w:ascii="Calibri" w:hAnsi="Calibri"/>
          <w:b/>
          <w:i w:val="0"/>
          <w:color w:val="1A1A1A"/>
          <w:sz w:val="20"/>
        </w:rPr>
        <w:t>Investor Relations, Halcyon Infrastructure Partners</w:t>
      </w:r>
    </w:p>
    <w:p>
      <w:pPr>
        <w:pStyle w:val="Normal"/>
        <w:spacing w:before="0" w:after="0" w:line="240"/>
        <w:rPr>
          <w:rFonts w:ascii="Calibri" w:hAnsi="Calibri"/>
          <w:b w:val="0"/>
          <w:i w:val="0"/>
          <w:color w:val="7F7F7F"/>
          <w:sz w:val="16"/>
        </w:rPr>
      </w:pPr>
      <w:r>
        <w:rPr>
          <w:rFonts w:ascii="Calibri" w:hAnsi="Calibri"/>
          <w:b w:val="0"/>
          <w:i w:val="0"/>
          <w:color w:val="7F7F7F"/>
          <w:sz w:val="16"/>
        </w:rPr>
        <w:t>Sources: Q1 FY26 board deck (10.06) pp3–6; Q1 FY26 flash report (2.07); Q1 FY26 consolidated statements (2.09); KPI dashboard Q1 FY26 (3.06); FY25 management accounts (2.05); FY26 budget (2.06); board minutes, FY25 fourth-quarter meeting (10.04) p5; board resolutions of 12 February and 28 April 2026 (10.05) pp1–2; first-round process letter (11.08) pp1–2; audited FY25 statements (2.03) p12; PHX II construction budget (4.06); campus appraisal reports (7.08) p4; cap table (1.03). Prior-quarter figures sum the monthly management accounts. Computed figures are in the LP update support workbook in this folder. Invested capital is derived pro rata to units.</w:t>
      </w:r>
      <w:r>
        <w:rPr>
          <w:rFonts w:ascii="Calibri" w:hAnsi="Calibri"/>
          <w:b w:val="0"/>
          <w:i w:val="0"/>
          <w:color w:val="7F7F7F"/>
          <w:sz w:val="16"/>
        </w:rPr>
        <w:t xml:space="preserve"> Contracted-term and power findings are from our earlier CIM review (models/CIM Review), based on the executed wholesale leases (Exhibit A p6) and power interval data (6.04).</w:t>
      </w:r>
    </w:p>
    <w:sectPr>
      <w:footerReference w:type="default" r:id="rId2"/>
      <w:pgSz w:w="12240" w:h="15840"/>
      <w:pgMar w:top="920" w:right="1080" w:bottom="800" w:left="1080" w:header="720" w:footer="400" w:gutter="0"/>
    </w:sectPr>
  </w:body>
</w:document>
</file>

<file path=word/footer1.xml><?xml version="1.0" encoding="utf-8"?>
<w:ftr xmlns:w="http://schemas.openxmlformats.org/wordprocessingml/2006/main">
  <w:p>
    <w:pPr>
      <w:rPr>
        <w:rFonts w:ascii="Calibri" w:hAnsi="Calibri"/>
        <w:color w:val="7F7F7F"/>
        <w:sz w:val="16"/>
      </w:rPr>
    </w:pPr>
    <w:r>
      <w:rPr>
        <w:rFonts w:ascii="Calibri" w:hAnsi="Calibri"/>
        <w:color w:val="7F7F7F"/>
        <w:sz w:val="16"/>
      </w:rPr>
      <w:t xml:space="preserve">Illustrative: Ironvale Digital Infrastructure is a fictional company (PE Bench)  |  Confidential: for Fund IV limited partners  |  Page </w:t>
    </w:r>
    <w:fldSimple w:instr="PAGE">
      <w:r>
        <w:rPr>
          <w:rFonts w:ascii="Calibri" w:hAnsi="Calibri"/>
          <w:color w:val="7F7F7F"/>
          <w:sz w:val="16"/>
        </w:rPr>
        <w:t>1</w:t>
      </w:r>
    </w:fldSimple>
  </w:p>
</w:ftr>
</file>

<file path=word/styles.xml><?xml version="1.0" encoding="utf-8"?>
<w:styles xmlns:w="http://schemas.openxmlformats.org/wordprocessingml/2006/main">
  <w:style w:type="paragraph" w:styleId="Normal" w:default="1">
    <w:name w:val="Normal"/>
    <w:rPr>
      <w:sz w:val="22"/>
    </w:rPr>
  </w:style>
  <w:style w:type="paragraph" w:styleId="Heading1">
    <w:name w:val="heading 1"/>
    <w:basedOn w:val="Normal"/>
    <w:pPr>
      <w:spacing w:before="240" w:after="0"/>
    </w:pPr>
    <w:rPr>
      <w:rFonts w:ascii="Calibri Light" w:hAnsi="Calibri Light"/>
      <w:color w:val="2E74B5"/>
      <w:sz w:val="32"/>
    </w:rPr>
  </w:style>
  <w:style w:type="paragraph" w:styleId="Heading2">
    <w:name w:val="heading 2"/>
    <w:basedOn w:val="Normal"/>
    <w:pPr>
      <w:spacing w:before="40" w:after="0"/>
    </w:pPr>
    <w:rPr>
      <w:rFonts w:ascii="Calibri Light" w:hAnsi="Calibri Light"/>
      <w:color w:val="2E74B5"/>
      <w:sz w:val="26"/>
    </w:rPr>
  </w:style>
  <w:style w:type="paragraph" w:styleId="Heading3">
    <w:name w:val="heading 3"/>
    <w:basedOn w:val="Normal"/>
    <w:pPr>
      <w:spacing w:before="40" w:after="0"/>
    </w:pPr>
    <w:rPr>
      <w:rFonts w:ascii="Calibri Light" w:hAnsi="Calibri Light"/>
      <w:color w:val="2E74B5"/>
      <w:sz w:val="24"/>
    </w:rPr>
  </w:style>
  <w:style w:type="paragraph" w:styleId="Heading4">
    <w:name w:val="heading 4"/>
    <w:basedOn w:val="Normal"/>
    <w:pPr>
      <w:spacing w:before="40" w:after="0"/>
    </w:pPr>
    <w:rPr>
      <w:rFonts w:ascii="Calibri Light" w:hAnsi="Calibri Light"/>
      <w:i/>
      <w:color w:val="2E74B5"/>
      <w:sz w:val="22"/>
    </w:rPr>
  </w:style>
  <w:style w:type="paragraph" w:styleId="Heading5">
    <w:name w:val="heading 5"/>
    <w:basedOn w:val="Normal"/>
    <w:pPr>
      <w:spacing w:before="40" w:after="0"/>
    </w:pPr>
    <w:rPr>
      <w:rFonts w:ascii="Calibri Light" w:hAnsi="Calibri Light"/>
      <w:color w:val="2E74B5"/>
      <w:sz w:val="22"/>
    </w:rPr>
  </w:style>
  <w:style w:type="paragraph" w:styleId="Heading6">
    <w:name w:val="heading 6"/>
    <w:basedOn w:val="Normal"/>
    <w:pPr>
      <w:spacing w:before="40" w:after="0"/>
    </w:pPr>
    <w:rPr>
      <w:rFonts w:ascii="Calibri Light" w:hAnsi="Calibri Light"/>
      <w:i/>
      <w:color w:val="2E74B5"/>
      <w:sz w:val="22"/>
    </w:rPr>
  </w:style>
  <w:style w:type="paragraph" w:styleId="Title">
    <w:name w:val="Title"/>
    <w:basedOn w:val="Normal"/>
    <w:pPr>
      <w:spacing w:after="80"/>
    </w:pPr>
    <w:rPr>
      <w:rFonts w:ascii="Calibri Light" w:hAnsi="Calibri Light"/>
      <w:color w:val="2E74B5"/>
      <w:sz w:val="56"/>
    </w:rPr>
  </w:style>
  <w:style w:type="paragraph" w:styleId="Subtitle">
    <w:name w:val="Subtitle"/>
    <w:basedOn w:val="Normal"/>
    <w:rPr>
      <w:rFonts w:ascii="Calibri Light" w:hAnsi="Calibri Light"/>
      <w:color w:val="5A5A5A"/>
      <w:sz w:val="28"/>
    </w:rPr>
  </w:style>
  <w:style w:type="paragraph" w:styleId="Quote">
    <w:name w:val="Quote"/>
    <w:basedOn w:val="Normal"/>
    <w:pPr>
      <w:ind w:left="720" w:right="720"/>
    </w:pPr>
    <w:rPr>
      <w:i/>
      <w:color w:val="404040"/>
      <w:sz w:val="22"/>
    </w:rPr>
  </w:style>
  <w:style w:type="paragraph" w:styleId="Caption">
    <w:name w:val="caption"/>
    <w:basedOn w:val="Normal"/>
    <w:rPr>
      <w:i/>
      <w:color w:val="44546A"/>
      <w:sz w:val="18"/>
    </w:rPr>
  </w:style>
  <w:style w:type="paragraph" w:styleId="ListParagraph">
    <w:name w:val="List Paragraph"/>
    <w:basedOn w:val="Normal"/>
    <w:pPr>
      <w:ind w:left="720"/>
    </w:pPr>
  </w:style>
  <w:style w:type="character" w:styleId="Strong">
    <w:name w:val="Strong"/>
    <w:rPr>
      <w:b/>
    </w:rPr>
  </w:style>
  <w:style w:type="character" w:styleId="Emphasis">
    <w:name w:val="Emphasis"/>
    <w:rPr>
      <w:i/>
    </w:rPr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Ironvale Q1 FY26 LP update</dc:title>
  <dc:creator/>
  <dc:subject/>
</cp:coreProperties>
</file>